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729410133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</w:t>
            </w:r>
            <w:r w:rsidR="00BA5AD8">
              <w:rPr>
                <w:rFonts w:ascii="Times New Roman" w:hAnsi="Times New Roman"/>
                <w:b/>
                <w:noProof/>
                <w:lang w:eastAsia="hr-HR"/>
              </w:rPr>
              <w:t>3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BA5AD8">
              <w:rPr>
                <w:rFonts w:ascii="Times New Roman" w:hAnsi="Times New Roman"/>
                <w:b/>
                <w:noProof/>
                <w:lang w:eastAsia="hr-HR"/>
              </w:rPr>
              <w:t>5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146F62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SREDNJA ŠKOLA OTOČAC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146F62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Ćirila i Metoda 2, Otočac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146F62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92358552068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146F62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Adela Rukavina, prof. ravnateljica Škole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146F62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1993.</w:t>
            </w:r>
          </w:p>
        </w:tc>
      </w:tr>
      <w:tr w:rsidR="00111527" w:rsidRPr="004F6E37" w:rsidTr="009833FC">
        <w:trPr>
          <w:trHeight w:val="723"/>
        </w:trPr>
        <w:tc>
          <w:tcPr>
            <w:tcW w:w="29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527" w:rsidRPr="008E4578" w:rsidRDefault="00E91A67" w:rsidP="00E91A67">
            <w:pPr>
              <w:pStyle w:val="Bezproreda"/>
              <w:rPr>
                <w:rFonts w:ascii="Times New Roman" w:eastAsia="Calibri" w:hAnsi="Times New Roman"/>
                <w:sz w:val="20"/>
                <w:szCs w:val="20"/>
              </w:rPr>
            </w:pPr>
            <w:r w:rsidRPr="008E4578">
              <w:rPr>
                <w:rFonts w:ascii="Times New Roman" w:eastAsia="Calibri" w:hAnsi="Times New Roman"/>
                <w:sz w:val="20"/>
                <w:szCs w:val="20"/>
              </w:rPr>
              <w:t>Djelatnost Škole obuhvaća srednjoškolsko obrazovanje, obrazovanje odraslih  te organizacija smještaja, prehrane, odgojno-obrazovnog rada, kulturnih i drugih aktivnosti učenika u Učeničkom domu.</w:t>
            </w:r>
          </w:p>
        </w:tc>
      </w:tr>
      <w:tr w:rsidR="00111527" w:rsidRPr="004F6E37" w:rsidTr="007E37F8">
        <w:trPr>
          <w:trHeight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527" w:rsidRPr="008E4578" w:rsidRDefault="00F0717D" w:rsidP="00F0717D">
            <w:pPr>
              <w:suppressAutoHyphens/>
              <w:snapToGrid w:val="0"/>
              <w:spacing w:after="0" w:line="240" w:lineRule="auto"/>
              <w:ind w:right="19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>Osim redovnog obrazovanja Škola provodi i programe srednjoškolskog obrazovanja odraslih. U sastavu Škole nalazi se i Učenički dom.</w:t>
            </w:r>
          </w:p>
        </w:tc>
      </w:tr>
      <w:tr w:rsidR="0087393F" w:rsidRPr="004F6E37" w:rsidTr="007E37F8">
        <w:trPr>
          <w:trHeight w:val="27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202</w:t>
            </w:r>
            <w:r w:rsidR="001E2595">
              <w:rPr>
                <w:rFonts w:ascii="Times New Roman" w:hAnsi="Times New Roman"/>
                <w:lang w:eastAsia="ar-SA"/>
              </w:rPr>
              <w:t>3</w:t>
            </w:r>
            <w:r w:rsidR="0087393F" w:rsidRPr="004F6E37">
              <w:rPr>
                <w:rFonts w:ascii="Times New Roman" w:hAnsi="Times New Roman"/>
                <w:lang w:eastAsia="ar-SA"/>
              </w:rPr>
              <w:t>. - 20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="001E2595">
              <w:rPr>
                <w:rFonts w:ascii="Times New Roman" w:hAnsi="Times New Roman"/>
                <w:lang w:eastAsia="ar-SA"/>
              </w:rPr>
              <w:t>5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701"/>
              <w:gridCol w:w="1701"/>
              <w:gridCol w:w="1701"/>
            </w:tblGrid>
            <w:tr w:rsidR="005641FB" w:rsidRPr="004F6E37" w:rsidTr="00876AB3">
              <w:tc>
                <w:tcPr>
                  <w:tcW w:w="1980" w:type="dxa"/>
                  <w:shd w:val="clear" w:color="auto" w:fill="auto"/>
                </w:tcPr>
                <w:p w:rsidR="005641FB" w:rsidRPr="004F6E37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641FB" w:rsidRPr="004F6E37" w:rsidRDefault="006E6D90" w:rsidP="00BA5AD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9A1786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BA5AD8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641FB" w:rsidRPr="004F6E37" w:rsidRDefault="006E6D90" w:rsidP="00B64AA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B64AAE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641FB" w:rsidRPr="004F6E37" w:rsidRDefault="006E6D90" w:rsidP="00B64AA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B64AAE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4F6E37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320.406,13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320.406,13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320.406,13</w:t>
                  </w: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4F6E37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4F6E37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4F6E37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6D598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1.358.152,51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6D598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</w:t>
                  </w:r>
                  <w:r w:rsidR="006D598F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58.152,51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6D598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</w:t>
                  </w:r>
                  <w:r w:rsidR="006D598F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58.152,51</w:t>
                  </w: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4F6E37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HZZO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4F6E37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prihodi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48.443,84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48.443,84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642C5B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48.443,84</w:t>
                  </w: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795CAD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Priho.po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poseb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 – propi.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29.544,09</w:t>
                  </w:r>
                </w:p>
                <w:p w:rsidR="0041614F" w:rsidRPr="00795CAD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29.544,09</w:t>
                  </w:r>
                </w:p>
                <w:p w:rsidR="0041614F" w:rsidRPr="00795CAD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29.544,09</w:t>
                  </w:r>
                </w:p>
                <w:p w:rsidR="0041614F" w:rsidRPr="00795CAD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795CAD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1.327,23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1.327,23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1.327,23</w:t>
                  </w: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6D598F" w:rsidRDefault="006D598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6D598F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EU-projekti ERASMUS +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6D598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13.690,92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6D598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13.690,92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6D598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13.690,92</w:t>
                  </w:r>
                </w:p>
              </w:tc>
            </w:tr>
            <w:tr w:rsidR="0041614F" w:rsidRPr="004F6E37" w:rsidTr="00876AB3">
              <w:tc>
                <w:tcPr>
                  <w:tcW w:w="1980" w:type="dxa"/>
                  <w:shd w:val="clear" w:color="auto" w:fill="auto"/>
                </w:tcPr>
                <w:p w:rsidR="0041614F" w:rsidRPr="004F6E37" w:rsidRDefault="0041614F" w:rsidP="0041614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795CAD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41614F" w:rsidP="006D53C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1.7</w:t>
                  </w:r>
                  <w:r w:rsidR="006D53CD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71.564,72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41614F" w:rsidP="006D53C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1.7</w:t>
                  </w:r>
                  <w:r w:rsidR="006D53CD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71.564,72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795CAD" w:rsidRDefault="0041614F" w:rsidP="006D53C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1.7</w:t>
                  </w:r>
                  <w:r w:rsidR="006D53CD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71.564,72</w:t>
                  </w:r>
                </w:p>
              </w:tc>
            </w:tr>
          </w:tbl>
          <w:p w:rsidR="005641FB" w:rsidRPr="004F6E37" w:rsidRDefault="005641FB" w:rsidP="00876AB3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</w:t>
            </w:r>
            <w:r w:rsidR="0041614F">
              <w:rPr>
                <w:rFonts w:ascii="Times New Roman" w:hAnsi="Times New Roman"/>
                <w:lang w:eastAsia="ar-SA"/>
              </w:rPr>
              <w:t>3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</w:t>
            </w:r>
            <w:r w:rsidR="0041614F">
              <w:rPr>
                <w:rFonts w:ascii="Times New Roman" w:hAnsi="Times New Roman"/>
                <w:lang w:eastAsia="ar-SA"/>
              </w:rPr>
              <w:t>5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258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701"/>
              <w:gridCol w:w="1701"/>
              <w:gridCol w:w="1701"/>
            </w:tblGrid>
            <w:tr w:rsidR="00524CD1" w:rsidRPr="004F6E37" w:rsidTr="00383E28">
              <w:tc>
                <w:tcPr>
                  <w:tcW w:w="2155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24CD1" w:rsidRPr="004F6E37" w:rsidRDefault="004F6E37" w:rsidP="0041614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41614F">
                    <w:rPr>
                      <w:rFonts w:ascii="Times New Roman" w:hAnsi="Times New Roman"/>
                      <w:b/>
                    </w:rPr>
                    <w:t>3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24CD1" w:rsidRPr="004F6E37" w:rsidRDefault="004F6E37" w:rsidP="0041614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41614F">
                    <w:rPr>
                      <w:rFonts w:ascii="Times New Roman" w:hAnsi="Times New Roman"/>
                      <w:b/>
                    </w:rPr>
                    <w:t>4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24CD1" w:rsidRPr="004F6E37" w:rsidRDefault="004F6E37" w:rsidP="0041614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41614F">
                    <w:rPr>
                      <w:rFonts w:ascii="Times New Roman" w:hAnsi="Times New Roman"/>
                      <w:b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41614F" w:rsidRPr="004F6E37" w:rsidTr="00383E28">
              <w:tc>
                <w:tcPr>
                  <w:tcW w:w="2155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Materijalni troškovi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32</w:t>
                  </w: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6D53CD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</w:t>
                  </w:r>
                  <w:r w:rsidR="006D53CD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48.245,31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6D53CD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</w:t>
                  </w:r>
                  <w:r w:rsidR="006D53CD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48.245,31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6D53CD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2</w:t>
                  </w:r>
                  <w:r w:rsidR="006D53CD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48.245,31</w:t>
                  </w:r>
                </w:p>
              </w:tc>
            </w:tr>
            <w:tr w:rsidR="0041614F" w:rsidRPr="004F6E37" w:rsidTr="00383E28">
              <w:tc>
                <w:tcPr>
                  <w:tcW w:w="2155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osoblja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31</w:t>
                  </w: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1.334.503,29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1.334.503,29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1.334.503,29</w:t>
                  </w:r>
                </w:p>
              </w:tc>
            </w:tr>
            <w:tr w:rsidR="0041614F" w:rsidRPr="004F6E37" w:rsidTr="00383E28">
              <w:tc>
                <w:tcPr>
                  <w:tcW w:w="2155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Prijevoz učenik</w:t>
                  </w: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37</w:t>
                  </w: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172.539,65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172.539,65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172.539,65</w:t>
                  </w:r>
                </w:p>
              </w:tc>
            </w:tr>
            <w:tr w:rsidR="0041614F" w:rsidRPr="004F6E37" w:rsidTr="00383E28">
              <w:tc>
                <w:tcPr>
                  <w:tcW w:w="2155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Financijski rashodi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34</w:t>
                  </w: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9.828,13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9.828,13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9.828,13</w:t>
                  </w:r>
                </w:p>
              </w:tc>
            </w:tr>
            <w:tr w:rsidR="0041614F" w:rsidRPr="004F6E37" w:rsidTr="00383E28">
              <w:tc>
                <w:tcPr>
                  <w:tcW w:w="2155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poslovni rashodi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54</w:t>
                  </w: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62,36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62,36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62,36</w:t>
                  </w:r>
                </w:p>
              </w:tc>
            </w:tr>
            <w:tr w:rsidR="0041614F" w:rsidRPr="004F6E37" w:rsidTr="00383E28">
              <w:tc>
                <w:tcPr>
                  <w:tcW w:w="2155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Dugotrajna imovina (42)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6.385,98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6.385,98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1614F" w:rsidRPr="004F6E37" w:rsidRDefault="0041614F" w:rsidP="0041614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6.385,98</w:t>
                  </w:r>
                </w:p>
              </w:tc>
            </w:tr>
            <w:tr w:rsidR="009550B8" w:rsidRPr="004F6E37" w:rsidTr="00383E28">
              <w:tc>
                <w:tcPr>
                  <w:tcW w:w="2155" w:type="dxa"/>
                  <w:shd w:val="clear" w:color="auto" w:fill="auto"/>
                </w:tcPr>
                <w:p w:rsidR="009550B8" w:rsidRPr="004F6E37" w:rsidRDefault="009550B8" w:rsidP="009550B8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550B8" w:rsidRPr="004F6E37" w:rsidRDefault="009550B8" w:rsidP="006D53CD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1.7</w:t>
                  </w:r>
                  <w:r w:rsidR="006D53CD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71.564,72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550B8" w:rsidRPr="004F6E37" w:rsidRDefault="009550B8" w:rsidP="006D53CD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1.7</w:t>
                  </w:r>
                  <w:r w:rsidR="006D53CD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71.564,72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550B8" w:rsidRPr="004F6E37" w:rsidRDefault="009550B8" w:rsidP="006D53CD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1.7</w:t>
                  </w:r>
                  <w:r w:rsidR="006D53CD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71.564,72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7715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77157" w:rsidRDefault="0027715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Obrazloženje općeg dijela financijskog plana;</w:t>
            </w:r>
          </w:p>
          <w:p w:rsidR="00277157" w:rsidRPr="00277157" w:rsidRDefault="00277157" w:rsidP="00277157">
            <w:pPr>
              <w:pStyle w:val="Odlomakpopisa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Obrazloženje prihoda i rashoda, primitaka i izdataka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630D96" w:rsidRDefault="00630D96" w:rsidP="00630D96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77157" w:rsidRDefault="00630D96" w:rsidP="00630D96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30D96">
              <w:rPr>
                <w:rFonts w:ascii="Times New Roman" w:hAnsi="Times New Roman"/>
                <w:sz w:val="20"/>
                <w:szCs w:val="20"/>
                <w:lang w:eastAsia="ar-SA"/>
              </w:rPr>
              <w:t>Prihodi poslovanja za 2023. godinu planirani su u iznosu od 1.7</w:t>
            </w:r>
            <w:r w:rsidR="006D53CD">
              <w:rPr>
                <w:rFonts w:ascii="Times New Roman" w:hAnsi="Times New Roman"/>
                <w:sz w:val="20"/>
                <w:szCs w:val="20"/>
                <w:lang w:eastAsia="ar-SA"/>
              </w:rPr>
              <w:t>73.209</w:t>
            </w:r>
            <w:r w:rsidRPr="00630D96">
              <w:rPr>
                <w:rFonts w:ascii="Times New Roman" w:hAnsi="Times New Roman"/>
                <w:sz w:val="20"/>
                <w:szCs w:val="20"/>
                <w:lang w:eastAsia="ar-SA"/>
              </w:rPr>
              <w:t>,17 EUR</w:t>
            </w:r>
            <w:r w:rsidR="006D53C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što je za 89.664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,92 EUR više nego u planu za 2022. godinu.</w:t>
            </w:r>
            <w:r w:rsidR="0072066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Iz državnog proračuna su prihodi povećani za 136.515,85 EUR</w:t>
            </w:r>
            <w:r w:rsidR="00EB79E3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 w:rsidR="0072066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EB79E3">
              <w:rPr>
                <w:rFonts w:ascii="Times New Roman" w:hAnsi="Times New Roman"/>
                <w:sz w:val="20"/>
                <w:szCs w:val="20"/>
                <w:lang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ovećanje se odnosi na sredstva za plaće i ostala materijalna prava zaposlenika iz državnog proračuna.</w:t>
            </w:r>
            <w:r w:rsidR="00BB2D0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Iz izvora 501 ostale pomoći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BB2D0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je još došlo do povećanja od 11.400,00 EUR to su sredstva koja će biti doznačena za provedbu projekta ERASMUS + u kojem je naša Škola partner. </w:t>
            </w:r>
            <w:r w:rsidR="00EB79E3">
              <w:rPr>
                <w:rFonts w:ascii="Times New Roman" w:hAnsi="Times New Roman"/>
                <w:sz w:val="20"/>
                <w:szCs w:val="20"/>
                <w:lang w:eastAsia="ar-SA"/>
              </w:rPr>
              <w:t>Vlastiti prihodi</w:t>
            </w:r>
            <w:r w:rsidR="0072066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su planirani u gotovo istom iznosu kao prethodne godine. </w:t>
            </w:r>
            <w:r w:rsidR="00EB79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Prihodi po posebnim propisima su planirani nešto veći zbog planiranih većih ostalih nespomenutih rashoda za troškove prijevoza učenika na stručne ekskurzije. </w:t>
            </w:r>
            <w:r w:rsidR="00720668">
              <w:rPr>
                <w:rFonts w:ascii="Times New Roman" w:hAnsi="Times New Roman"/>
                <w:sz w:val="20"/>
                <w:szCs w:val="20"/>
                <w:lang w:eastAsia="ar-SA"/>
              </w:rPr>
              <w:t>Prihodi od nadležnog proračuna su planirani manji u odnosu na plan 2022. godine za 58.502,66 EUR zbog zadanih limita u planiranju istih temeljem Upute za izradu proračuna Ličko-senjske županije za razdoblje 2023.-2025. godina</w:t>
            </w:r>
            <w:r w:rsidR="00EB79E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596F46" w:rsidRPr="00630D96" w:rsidRDefault="00596F46" w:rsidP="00630D96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96F46" w:rsidRPr="004F6E37" w:rsidTr="005F35C1">
        <w:trPr>
          <w:trHeight w:val="1599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96F46" w:rsidRDefault="00596F46" w:rsidP="00596F46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Obrazloženje općeg dijela financijskog plana;</w:t>
            </w:r>
          </w:p>
          <w:p w:rsidR="00596F46" w:rsidRPr="00596F46" w:rsidRDefault="00596F46" w:rsidP="00596F46">
            <w:pPr>
              <w:pStyle w:val="Odlomakpopisa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96F46">
              <w:rPr>
                <w:rFonts w:ascii="Times New Roman" w:hAnsi="Times New Roman"/>
                <w:lang w:eastAsia="ar-SA"/>
              </w:rPr>
              <w:t>Obrazloženje prenesenog manjka/viška financijskog plana</w:t>
            </w:r>
          </w:p>
          <w:p w:rsidR="00596F46" w:rsidRDefault="00596F46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EB79E3" w:rsidRDefault="00EB79E3" w:rsidP="00630D96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96F46" w:rsidRDefault="00EB79E3" w:rsidP="00630D96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Preneseni manjak prihoda i primitaka je proizašao iz manjka prihoda iz vlastitih sredstava zbog p</w:t>
            </w:r>
            <w:r w:rsidR="00B96F75">
              <w:rPr>
                <w:rFonts w:ascii="Times New Roman" w:hAnsi="Times New Roman"/>
                <w:sz w:val="20"/>
                <w:szCs w:val="20"/>
                <w:lang w:eastAsia="ar-SA"/>
              </w:rPr>
              <w:t>ozajmice od nadležnog proračuna za pokriće ovrhe po presudi u korist učenika Škole.</w:t>
            </w: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65D2" w:rsidRPr="004F6E37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7E37F8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87393F" w:rsidRPr="004F6E37">
              <w:rPr>
                <w:rFonts w:ascii="Times New Roman" w:hAnsi="Times New Roman"/>
                <w:b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E66F45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Srednjoškolsko obrazovanje</w:t>
            </w:r>
          </w:p>
        </w:tc>
      </w:tr>
      <w:tr w:rsidR="004C701B" w:rsidRPr="004F6E37" w:rsidTr="007E37F8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712" w:rsidRDefault="0085188C" w:rsidP="0085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Srednja škola Otočac </w:t>
            </w:r>
            <w:r w:rsidR="00CA5712">
              <w:rPr>
                <w:rFonts w:ascii="Times New Roman" w:hAnsi="Times New Roman"/>
                <w:sz w:val="20"/>
                <w:szCs w:val="20"/>
              </w:rPr>
              <w:t>obavlja djelatnost srednjeg školstva. Djelatnost Škole obuhvaća odgoj i obrazovanje mladeži za stjecanje srednje stručne i školske spreme, te znanja i sposobnosti za rad i nastavak školovanja.. Redovito obrazovanje učenika odvija se kroz slijedeće  programe:</w:t>
            </w:r>
          </w:p>
          <w:p w:rsidR="0085188C" w:rsidRPr="008E4578" w:rsidRDefault="0085188C" w:rsidP="0085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 opća gimnazija, ekonomist, poslovni tajnik, prodavač, </w:t>
            </w:r>
            <w:r w:rsidR="00CA5712">
              <w:rPr>
                <w:rFonts w:ascii="Times New Roman" w:hAnsi="Times New Roman"/>
                <w:sz w:val="20"/>
                <w:szCs w:val="20"/>
              </w:rPr>
              <w:t>šumarski tehničar, strojobravar, tokar, automehaničar, elektromehaničar i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2197" w:rsidRPr="008E4578">
              <w:rPr>
                <w:rFonts w:ascii="Times New Roman" w:hAnsi="Times New Roman"/>
                <w:sz w:val="20"/>
                <w:szCs w:val="20"/>
              </w:rPr>
              <w:t>autoelektričar</w:t>
            </w:r>
            <w:r w:rsidR="00CA57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>Prioritet škole je kvalitetno obrazovanje i odgoj učenika što ostvarujemo:</w:t>
            </w:r>
          </w:p>
          <w:p w:rsidR="0085188C" w:rsidRPr="008E4578" w:rsidRDefault="0085188C" w:rsidP="0085188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stalnim usavršavanjem profesora  ( seminari, stručni skupovi, aktivi) i podizanjem nastavnog standarda na višu razinu</w:t>
            </w:r>
          </w:p>
          <w:p w:rsidR="0085188C" w:rsidRPr="008E4578" w:rsidRDefault="0085188C" w:rsidP="0085188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poticanjem učenika na izražavanje kreativnosti, talenata i sposobnosti kroz uključivanje u slobodne aktivnosti ( dramsko-recitatorska skupina, eko škola…) zatim brojna natjecanja te druge školske projekte, priredbe i manifestacije</w:t>
            </w:r>
          </w:p>
          <w:p w:rsidR="004C701B" w:rsidRPr="0085188C" w:rsidRDefault="0085188C" w:rsidP="0085188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organiziranjem zajedničkih aktivnosti učenika i profesora tijekom vannastavnih aktivnosti.</w:t>
            </w:r>
          </w:p>
        </w:tc>
      </w:tr>
      <w:tr w:rsidR="004C701B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1B" w:rsidRPr="008E4578" w:rsidRDefault="00A52197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E4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Obrazovanje učenika za stjecanje srednje školske spreme i srednje stručne spreme.</w:t>
            </w:r>
          </w:p>
        </w:tc>
      </w:tr>
      <w:tr w:rsidR="006939A7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9A7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7DA" w:rsidRPr="008E4578" w:rsidRDefault="004C47DA" w:rsidP="00100F92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C701B" w:rsidRPr="004F6E37" w:rsidTr="009833FC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4C701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KA OSNOVA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7DA" w:rsidRPr="008E4578" w:rsidRDefault="00A52197" w:rsidP="004C47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Redovna nastava, te izborna, dodatna i dopunska nastava izvode se prema nastavnim planovima i programima koje je donijelo Ministarstvo znanosti i obrazovanja , Školskom kurikulumu za </w:t>
            </w:r>
            <w:r w:rsidR="00A8177E" w:rsidRPr="008E4578">
              <w:rPr>
                <w:rFonts w:ascii="Times New Roman" w:hAnsi="Times New Roman"/>
                <w:sz w:val="20"/>
                <w:szCs w:val="20"/>
              </w:rPr>
              <w:t>202</w:t>
            </w:r>
            <w:r w:rsidR="00F8321A">
              <w:rPr>
                <w:rFonts w:ascii="Times New Roman" w:hAnsi="Times New Roman"/>
                <w:sz w:val="20"/>
                <w:szCs w:val="20"/>
              </w:rPr>
              <w:t>2</w:t>
            </w:r>
            <w:r w:rsidR="00A8177E" w:rsidRPr="008E4578">
              <w:rPr>
                <w:rFonts w:ascii="Times New Roman" w:hAnsi="Times New Roman"/>
                <w:sz w:val="20"/>
                <w:szCs w:val="20"/>
              </w:rPr>
              <w:t>./202</w:t>
            </w:r>
            <w:r w:rsidR="00F8321A">
              <w:rPr>
                <w:rFonts w:ascii="Times New Roman" w:hAnsi="Times New Roman"/>
                <w:sz w:val="20"/>
                <w:szCs w:val="20"/>
              </w:rPr>
              <w:t>3</w:t>
            </w:r>
            <w:r w:rsidR="00A8177E" w:rsidRPr="008E4578">
              <w:rPr>
                <w:rFonts w:ascii="Times New Roman" w:hAnsi="Times New Roman"/>
                <w:sz w:val="20"/>
                <w:szCs w:val="20"/>
              </w:rPr>
              <w:t>.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 xml:space="preserve"> godinu te Godišnjem planu i programu rada Škole za školsku </w:t>
            </w:r>
            <w:r w:rsidR="00A8177E" w:rsidRPr="008E4578">
              <w:rPr>
                <w:rFonts w:ascii="Times New Roman" w:hAnsi="Times New Roman"/>
                <w:sz w:val="20"/>
                <w:szCs w:val="20"/>
              </w:rPr>
              <w:t>202</w:t>
            </w:r>
            <w:r w:rsidR="00F8321A">
              <w:rPr>
                <w:rFonts w:ascii="Times New Roman" w:hAnsi="Times New Roman"/>
                <w:sz w:val="20"/>
                <w:szCs w:val="20"/>
              </w:rPr>
              <w:t>2</w:t>
            </w:r>
            <w:r w:rsidR="00A8177E" w:rsidRPr="008E4578">
              <w:rPr>
                <w:rFonts w:ascii="Times New Roman" w:hAnsi="Times New Roman"/>
                <w:sz w:val="20"/>
                <w:szCs w:val="20"/>
              </w:rPr>
              <w:t>./202</w:t>
            </w:r>
            <w:r w:rsidR="00F8321A">
              <w:rPr>
                <w:rFonts w:ascii="Times New Roman" w:hAnsi="Times New Roman"/>
                <w:sz w:val="20"/>
                <w:szCs w:val="20"/>
              </w:rPr>
              <w:t>3</w:t>
            </w:r>
            <w:r w:rsidR="00A8177E" w:rsidRPr="008E4578">
              <w:rPr>
                <w:rFonts w:ascii="Times New Roman" w:hAnsi="Times New Roman"/>
                <w:sz w:val="20"/>
                <w:szCs w:val="20"/>
              </w:rPr>
              <w:t>.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 xml:space="preserve"> godinu.</w:t>
            </w:r>
          </w:p>
          <w:p w:rsidR="00A52197" w:rsidRPr="008E4578" w:rsidRDefault="00A52197" w:rsidP="004C47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Za redovne programe Škola posjeduje odobrenje za rad Ministarstva znanosti i obrazovanja:</w:t>
            </w:r>
          </w:p>
          <w:p w:rsidR="00A52197" w:rsidRPr="008E4578" w:rsidRDefault="00A52197" w:rsidP="00A52197">
            <w:pPr>
              <w:pStyle w:val="Bezproreda"/>
              <w:rPr>
                <w:rFonts w:ascii="Times New Roman" w:eastAsia="Calibri" w:hAnsi="Times New Roman"/>
                <w:sz w:val="20"/>
                <w:szCs w:val="20"/>
              </w:rPr>
            </w:pPr>
            <w:r w:rsidRPr="008E4578">
              <w:rPr>
                <w:rFonts w:ascii="Times New Roman" w:eastAsia="Calibri" w:hAnsi="Times New Roman"/>
                <w:sz w:val="20"/>
                <w:szCs w:val="20"/>
              </w:rPr>
              <w:t xml:space="preserve"> -Klasa:602-03/92-01-1296, Urbroj:532-02-2/1-91-01 od 8. travnja 1993. godine; </w:t>
            </w:r>
          </w:p>
          <w:p w:rsidR="00A52197" w:rsidRPr="008E4578" w:rsidRDefault="00A52197" w:rsidP="00A52197">
            <w:pPr>
              <w:pStyle w:val="Bezproreda"/>
              <w:rPr>
                <w:rFonts w:ascii="Times New Roman" w:eastAsia="Calibri" w:hAnsi="Times New Roman"/>
                <w:sz w:val="20"/>
                <w:szCs w:val="20"/>
              </w:rPr>
            </w:pPr>
            <w:r w:rsidRPr="008E4578">
              <w:rPr>
                <w:rFonts w:ascii="Times New Roman" w:eastAsia="Calibri" w:hAnsi="Times New Roman"/>
                <w:sz w:val="20"/>
                <w:szCs w:val="20"/>
              </w:rPr>
              <w:t>- Klasa: UP/I°-602-03/97-01/79, Urbroj:532-02-02/98-1 od 29. lipnja 1998. godine</w:t>
            </w:r>
          </w:p>
          <w:p w:rsidR="00A52197" w:rsidRPr="008E4578" w:rsidRDefault="00A52197" w:rsidP="00A52197">
            <w:pPr>
              <w:pStyle w:val="Bezproreda"/>
              <w:rPr>
                <w:rFonts w:ascii="Times New Roman" w:eastAsia="Calibri" w:hAnsi="Times New Roman"/>
                <w:sz w:val="20"/>
                <w:szCs w:val="20"/>
              </w:rPr>
            </w:pPr>
            <w:r w:rsidRPr="008E4578">
              <w:rPr>
                <w:rFonts w:ascii="Times New Roman" w:eastAsia="Calibri" w:hAnsi="Times New Roman"/>
                <w:sz w:val="20"/>
                <w:szCs w:val="20"/>
              </w:rPr>
              <w:t>- KLASA: UP/1-602-03/17-05/00315, URBROJ:533-25-18-0004 od 19. siječnja 2018. godine</w:t>
            </w:r>
          </w:p>
          <w:p w:rsidR="004C701B" w:rsidRPr="008E4578" w:rsidRDefault="00A52197" w:rsidP="00A52197">
            <w:pPr>
              <w:pStyle w:val="Bezproreda"/>
              <w:rPr>
                <w:rFonts w:ascii="Times New Roman" w:eastAsia="Calibri" w:hAnsi="Times New Roman"/>
                <w:sz w:val="20"/>
                <w:szCs w:val="20"/>
              </w:rPr>
            </w:pPr>
            <w:r w:rsidRPr="008E4578">
              <w:rPr>
                <w:rFonts w:ascii="Times New Roman" w:eastAsia="Calibri" w:hAnsi="Times New Roman"/>
                <w:sz w:val="20"/>
                <w:szCs w:val="20"/>
              </w:rPr>
              <w:t xml:space="preserve">- KLASA: UP/I-602-03/17-05/00316, URBROJ:533-25-18-0004 od 30. siječnja 2018. godine. </w:t>
            </w:r>
          </w:p>
        </w:tc>
      </w:tr>
      <w:tr w:rsidR="0007477B" w:rsidRPr="004F6E37" w:rsidTr="009833FC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AČUNI I SREDSTVA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8E4578" w:rsidRDefault="005641F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*Napomena: Obrazložiti troškovnu komponentu aktivnosti</w:t>
            </w:r>
            <w:r w:rsidR="005A0F10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(materijalni, ljudski resursi potrebni za odvijanje aktivnosti te cijenu koštanja)</w:t>
            </w:r>
          </w:p>
          <w:p w:rsidR="001546EF" w:rsidRPr="008E4578" w:rsidRDefault="001546EF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E6B79" w:rsidRPr="008E4578" w:rsidRDefault="001546EF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Na početku školske godine u radnom odnosu je </w:t>
            </w:r>
            <w:r w:rsidR="00F8321A">
              <w:rPr>
                <w:rFonts w:ascii="Times New Roman" w:hAnsi="Times New Roman"/>
                <w:sz w:val="20"/>
                <w:szCs w:val="20"/>
                <w:lang w:eastAsia="ar-SA"/>
              </w:rPr>
              <w:t>67</w:t>
            </w:r>
            <w:r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zaposlenika</w:t>
            </w:r>
            <w:r w:rsidR="00296F41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="002E6B79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Trenutno Škola ima </w:t>
            </w:r>
            <w:r w:rsidR="000B2409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  <w:r w:rsidR="00F8321A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="00296F41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E6B79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učenika upisana u </w:t>
            </w:r>
            <w:r w:rsidR="00F8321A"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  <w:r w:rsidR="002E6B79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razrednih odjela.</w:t>
            </w:r>
          </w:p>
          <w:p w:rsidR="002E6B79" w:rsidRPr="008E4578" w:rsidRDefault="002E6B79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7477B" w:rsidRPr="004F6E37" w:rsidTr="009833FC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NAČIN I SREDSTVA ZA REALIZACIJU 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701"/>
              <w:gridCol w:w="1701"/>
              <w:gridCol w:w="1598"/>
            </w:tblGrid>
            <w:tr w:rsidR="00C84E23" w:rsidRPr="004F6E37" w:rsidTr="006A38CE">
              <w:tc>
                <w:tcPr>
                  <w:tcW w:w="2212" w:type="dxa"/>
                  <w:shd w:val="clear" w:color="auto" w:fill="auto"/>
                </w:tcPr>
                <w:p w:rsidR="00C84E23" w:rsidRPr="004F6E37" w:rsidRDefault="00C84E23" w:rsidP="00C84E2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84E23" w:rsidRPr="004F6E37" w:rsidRDefault="004F6E37" w:rsidP="009550B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9550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84E23" w:rsidRPr="004F6E37" w:rsidRDefault="004F6E37" w:rsidP="009550B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9550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98" w:type="dxa"/>
                  <w:shd w:val="clear" w:color="auto" w:fill="auto"/>
                  <w:vAlign w:val="center"/>
                </w:tcPr>
                <w:p w:rsidR="00C84E23" w:rsidRPr="004F6E37" w:rsidRDefault="00C84E23" w:rsidP="009550B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9550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550B8" w:rsidRPr="004F6E37" w:rsidTr="006A38CE">
              <w:tc>
                <w:tcPr>
                  <w:tcW w:w="2212" w:type="dxa"/>
                  <w:shd w:val="clear" w:color="auto" w:fill="auto"/>
                </w:tcPr>
                <w:p w:rsidR="009550B8" w:rsidRPr="004F6E37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153D" w:rsidRPr="004F6E37" w:rsidRDefault="00807F73" w:rsidP="00AB153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300.338,44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550B8" w:rsidRPr="004F6E37" w:rsidRDefault="00807F73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300.338,44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807F73" w:rsidRPr="004F6E37" w:rsidRDefault="00807F73" w:rsidP="00807F7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300.338,44</w:t>
                  </w:r>
                </w:p>
              </w:tc>
            </w:tr>
            <w:tr w:rsidR="00406D37" w:rsidRPr="004F6E37" w:rsidTr="006A38CE">
              <w:tc>
                <w:tcPr>
                  <w:tcW w:w="2212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A0F10" w:rsidRPr="004F6E37" w:rsidRDefault="005A0F10" w:rsidP="006A38C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A0F10" w:rsidRPr="004F6E37" w:rsidRDefault="005A0F10" w:rsidP="006A38C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5A0F10" w:rsidRPr="004F6E37" w:rsidRDefault="005A0F10" w:rsidP="006A38C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6A38CE">
              <w:tc>
                <w:tcPr>
                  <w:tcW w:w="2212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2661D" w:rsidRPr="004F6E37" w:rsidRDefault="0062661D" w:rsidP="006A38C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2661D" w:rsidRPr="004F6E37" w:rsidRDefault="0062661D" w:rsidP="006A38C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62661D" w:rsidRPr="004F6E37" w:rsidRDefault="0062661D" w:rsidP="006A38C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F8321A" w:rsidRPr="004F6E37" w:rsidTr="006A38CE">
              <w:tc>
                <w:tcPr>
                  <w:tcW w:w="2212" w:type="dxa"/>
                  <w:shd w:val="clear" w:color="auto" w:fill="auto"/>
                </w:tcPr>
                <w:p w:rsidR="00F8321A" w:rsidRPr="004F6E37" w:rsidRDefault="00F8321A" w:rsidP="00F8321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321A" w:rsidRPr="00642C5B" w:rsidRDefault="00BB2D01" w:rsidP="00F8321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1.358.152,51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321A" w:rsidRPr="00642C5B" w:rsidRDefault="00F8321A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1.3</w:t>
                  </w:r>
                  <w:r w:rsidR="00BB2D0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58.152,51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F8321A" w:rsidRPr="00642C5B" w:rsidRDefault="00F8321A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1.</w:t>
                  </w:r>
                  <w:r w:rsidR="00BB2D0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358.152,51</w:t>
                  </w:r>
                </w:p>
              </w:tc>
            </w:tr>
            <w:tr w:rsidR="00807F73" w:rsidRPr="004F6E37" w:rsidTr="006A38CE">
              <w:tc>
                <w:tcPr>
                  <w:tcW w:w="2212" w:type="dxa"/>
                  <w:shd w:val="clear" w:color="auto" w:fill="auto"/>
                </w:tcPr>
                <w:p w:rsidR="00807F73" w:rsidRPr="004F6E37" w:rsidRDefault="00807F73" w:rsidP="00807F7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07F73" w:rsidRPr="004F6E37" w:rsidRDefault="00807F73" w:rsidP="00807F7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1.327,23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07F73" w:rsidRPr="004F6E37" w:rsidRDefault="00807F73" w:rsidP="00807F7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1.327,23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807F73" w:rsidRPr="004F6E37" w:rsidRDefault="00807F73" w:rsidP="00807F7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1.327,23</w:t>
                  </w:r>
                </w:p>
              </w:tc>
            </w:tr>
            <w:tr w:rsidR="00BB2D01" w:rsidRPr="004F6E37" w:rsidTr="006A38CE">
              <w:tc>
                <w:tcPr>
                  <w:tcW w:w="2212" w:type="dxa"/>
                  <w:shd w:val="clear" w:color="auto" w:fill="auto"/>
                </w:tcPr>
                <w:p w:rsidR="00BB2D01" w:rsidRPr="006D598F" w:rsidRDefault="00BB2D01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6D598F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EU-projekti ERASMUS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+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2D01" w:rsidRPr="00795CAD" w:rsidRDefault="00BB2D01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13.690,92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2D01" w:rsidRPr="00795CAD" w:rsidRDefault="00BB2D01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13.690,92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BB2D01" w:rsidRPr="00795CAD" w:rsidRDefault="00BB2D01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13.690,92</w:t>
                  </w:r>
                </w:p>
              </w:tc>
            </w:tr>
            <w:tr w:rsidR="00BB2D01" w:rsidRPr="004F6E37" w:rsidTr="006A38CE">
              <w:tc>
                <w:tcPr>
                  <w:tcW w:w="2212" w:type="dxa"/>
                  <w:shd w:val="clear" w:color="auto" w:fill="auto"/>
                </w:tcPr>
                <w:p w:rsidR="00BB2D01" w:rsidRPr="004F6E37" w:rsidRDefault="00BB2D01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2D01" w:rsidRPr="004F6E37" w:rsidRDefault="00BB2D01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1.673.509,10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2D01" w:rsidRPr="004F6E37" w:rsidRDefault="00BB2D01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1.673.509,10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BB2D01" w:rsidRPr="004F6E37" w:rsidRDefault="00BB2D01" w:rsidP="00BB2D0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1.673.509,10</w:t>
                  </w:r>
                </w:p>
              </w:tc>
            </w:tr>
          </w:tbl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6939A7" w:rsidRPr="004F6E37" w:rsidRDefault="006939A7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00F92" w:rsidRPr="008E4578" w:rsidTr="0097418F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F92" w:rsidRPr="008E4578" w:rsidRDefault="00100F92" w:rsidP="00100F92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585" w:rsidRPr="008E4578" w:rsidRDefault="00FD7585" w:rsidP="006E1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  <w:t xml:space="preserve"> </w:t>
            </w:r>
          </w:p>
          <w:p w:rsidR="006E15FD" w:rsidRPr="008E4578" w:rsidRDefault="00FD7585" w:rsidP="008E457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</w:r>
          </w:p>
          <w:p w:rsidR="00FD7585" w:rsidRPr="008E4578" w:rsidRDefault="00FD758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r w:rsidR="000B2409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FA1C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./202</w:t>
            </w:r>
            <w:r w:rsidR="00FA1C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godine u sklopu projekta e-škole CARNET je </w:t>
            </w:r>
            <w:r w:rsidR="00FA1C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postavio aktivnu mrežnu opremu u prostoru Škole.</w:t>
            </w:r>
          </w:p>
          <w:p w:rsidR="00742A58" w:rsidRDefault="008859DF" w:rsidP="00716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       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Za opremanje školske knjižnice obveznom lektirom u 20</w:t>
            </w:r>
            <w:r w:rsidR="006E15FD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FA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. godini Ministarstvo znanosti i obrazovanja odobrilo je iznos od </w:t>
            </w:r>
            <w:r w:rsidR="00FA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4.000,00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kn te su ista namjenski utrošena </w:t>
            </w:r>
            <w:r w:rsidR="00FA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za kupnju 33 knjige lektire. </w:t>
            </w:r>
            <w:r w:rsidR="006E15FD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FA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Osim toga utrošeno je 165,16 kuna </w:t>
            </w:r>
            <w:r w:rsidR="006E15FD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vlastiti</w:t>
            </w:r>
            <w:r w:rsidR="00FA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h</w:t>
            </w:r>
            <w:r w:rsidR="006E15FD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sredst</w:t>
            </w:r>
            <w:r w:rsidR="00FA1C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ava za kupnju 4 stručne knjige.</w:t>
            </w:r>
          </w:p>
          <w:p w:rsidR="00716FEB" w:rsidRPr="00716FEB" w:rsidRDefault="00716FEB" w:rsidP="00716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8859DF" w:rsidRPr="008E4578" w:rsidRDefault="00742A58" w:rsidP="0074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       Planom rashoda za nabavu proizvedene dugotrajne imovine i dodatna ulaganja na nefinancijskoj imovini srednjih škola Ličko-senjske županije u 2021. godini Školi je osigurano 370.000,00 kn za izmjenu pokrova na novoj zgradi, izgradnju spremišta za opremu aktiva šumarstva, izgradnju nadstrešnice i sanaciju stubišta, nabavu namještaja i opreme.</w:t>
            </w:r>
            <w:r w:rsidR="00405B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III. Izmjenama i dopunama plana nadležni proračun je navedeni iznos smanjio na 318.477,56 kn a razliku od 51.522,44 kn Škola je morala prenamijeniti zbog nedostatka sredstava za rashode poslovanja. Iznos od 14.764,65 kn je utrošen za nabavu uredske opreme i namještaja dok je iznos od 303.712,91 kn utrošen za dodatna ulaganja na građevinskim objektima.</w:t>
            </w:r>
          </w:p>
          <w:p w:rsidR="00607F7D" w:rsidRPr="008E4578" w:rsidRDefault="00607F7D" w:rsidP="00716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607F7D" w:rsidRPr="008E4578" w:rsidRDefault="00607F7D" w:rsidP="0074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       U skladu s Odlukom Ministarstva o financiranju obveznih udžbenika za učenike srednjih škola koji su članovi kućanstva koje je korisnik zajamčene minimalne naknade sukladno propisu kojim se uređuje područje socijalne skrbi nabavljeni su udžbenici za </w:t>
            </w:r>
            <w:r w:rsidR="00405B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4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učenika u vrijednosti od </w:t>
            </w:r>
            <w:r w:rsidR="00405B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3.043,74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kn.</w:t>
            </w:r>
          </w:p>
          <w:p w:rsidR="00607F7D" w:rsidRPr="008E4578" w:rsidRDefault="00607F7D" w:rsidP="00607F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405B28" w:rsidRPr="004A4F62" w:rsidRDefault="00607F7D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  <w:t xml:space="preserve">Kao što je uobičajeno prije početka svake školske godine izvršeni su ličilački radovi – soboslikarski radovi dijela prostora Škole, Učeničkog doma i sportske dvorane. </w:t>
            </w:r>
          </w:p>
          <w:p w:rsidR="008859DF" w:rsidRPr="008E4578" w:rsidRDefault="008859DF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D7585" w:rsidRPr="008E4578" w:rsidRDefault="00C42901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 </w:t>
            </w:r>
            <w:r w:rsidR="00FD7585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Nastavno osoblje je u većem dijelu stručno osposobljeno za izvođenje nastave prema postojećem Pravilniku o stručnoj osposobljenosti. Nestručna zastupljenost nastave bila je iz </w:t>
            </w:r>
            <w:r w:rsidR="004A4F6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predmeta </w:t>
            </w:r>
            <w:r w:rsidR="00FD7585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Fizike</w:t>
            </w:r>
            <w:r w:rsidR="004A4F6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:rsidR="00716FEB" w:rsidRDefault="00FD758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ab/>
            </w:r>
          </w:p>
          <w:p w:rsidR="00716FEB" w:rsidRDefault="00716FEB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FD7585" w:rsidRDefault="00716FEB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          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Na kraju nastavne godine u </w:t>
            </w:r>
            <w:r w:rsidR="00FD2FB2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radnom odnosu bilo je ukupno 6</w:t>
            </w:r>
            <w:r w:rsidR="004A4F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7</w:t>
            </w:r>
            <w:r w:rsidR="00FD2FB2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zaposlenika. Od ukupnog broja zaposlenika u radnom odnosu bilo je 4</w:t>
            </w:r>
            <w:r w:rsidR="004A4F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3 nastavnika (42 na neodređeno i 1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na određeno), ravnatelj</w:t>
            </w:r>
            <w:r w:rsidR="004A4F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ica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, 3 stručna suradnika, voditelj Učeničkog doma</w:t>
            </w:r>
            <w:r w:rsidR="00FD2FB2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/odgajatelj, 1 odgajatelj, 1</w:t>
            </w:r>
            <w:r w:rsidR="004A4F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7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ostalih zaposlenika</w:t>
            </w:r>
            <w:r w:rsidR="00FD2FB2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(16 na neodređeno i </w:t>
            </w:r>
            <w:r w:rsidR="004A4F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FD2FB2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na određeno vrijeme).</w:t>
            </w:r>
          </w:p>
          <w:p w:rsidR="004A4F62" w:rsidRPr="008E4578" w:rsidRDefault="004A4F62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FD7585" w:rsidRPr="008E4578" w:rsidRDefault="00FD758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ab/>
              <w:t>U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protekloj školsko</w:t>
            </w:r>
            <w:r w:rsidR="007659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j godini nastavu je pohađalo 303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učenik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a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koji su bili upisani u 20 razredni odjel. Školsku g</w:t>
            </w:r>
            <w:r w:rsidR="007659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odinu s uspjehom je završilo 29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8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učenika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, a </w:t>
            </w:r>
            <w:r w:rsidR="007659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5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učenika su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upućen</w:t>
            </w:r>
            <w:r w:rsidR="007659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a na ponavljanje razreda. Od 29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8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učenika koji su s uspjehom završili razred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,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s odličnim uspjehom završilo je 6</w:t>
            </w:r>
            <w:r w:rsidR="007659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4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uče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nika, s vrlo dobrim uspjehom </w:t>
            </w:r>
            <w:r w:rsidR="007659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115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učenika, s dobrim uspjehom </w:t>
            </w:r>
            <w:r w:rsidR="00BE3A6B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113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</w:t>
            </w:r>
            <w:r w:rsidR="007659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čenika i s dovoljnim uspjehom 6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učenika. </w:t>
            </w:r>
          </w:p>
          <w:p w:rsidR="00FD7585" w:rsidRPr="008E4578" w:rsidRDefault="00FD758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ab/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 ljetnom ispitnom roku državnu maturu je pri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javilo i polaganju pristupilo 3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učenika,  od kojih je 2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položilo sve obvezne ispite.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:rsidR="00FD7585" w:rsidRPr="008E4578" w:rsidRDefault="00FD758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bvezne ispite na ljetnom ispitnom roku 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nije položilo 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enika i to: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 učenika zanimanja ekonomist, 3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zanimanja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šumarski tehničar i 1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 zanimanja poslovni tajnik.</w:t>
            </w:r>
          </w:p>
          <w:p w:rsidR="00FD7585" w:rsidRPr="008E4578" w:rsidRDefault="00FD7585" w:rsidP="00FC4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Državnu maturu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 jesenskom roku prijavilo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je 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i to: 5 učenika zanimanja ekonomist, 1  učenic</w:t>
            </w:r>
            <w:r w:rsidR="007659A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 zanimanja poslovni tajnik  i 2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zanimanja šumarski tehničar. 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Od učenika koji su ispitima pristupili položila su 2 učenika zanimanja ekonomist.</w:t>
            </w:r>
          </w:p>
          <w:p w:rsidR="00BE3A6B" w:rsidRPr="008E4578" w:rsidRDefault="00BE3A6B" w:rsidP="00FC4D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D7585" w:rsidRDefault="00FD758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Od ukupno 65 učenika strukovnih zanimanja z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avršni r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ad u ljetnom roku obranilo je 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60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i to: 1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</w:t>
            </w:r>
            <w:r w:rsidR="00BE3A6B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 zanimanja ekonomist, 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12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zanimanja poslovni tajnik, 1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zanimanja šumarski tehničar, 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zanimanja elektromehaničar, 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</w:t>
            </w:r>
            <w:r w:rsidR="003444A6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nik zanimanja autoelektričar i 4</w:t>
            </w: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učenika zanimanja automehaničar.</w:t>
            </w:r>
            <w:r w:rsidR="00355E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:rsidR="00355E95" w:rsidRDefault="00355E9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Završni rad u jesenskom roku obranila su 2 učenika zanimanja automehaničar.</w:t>
            </w:r>
          </w:p>
          <w:p w:rsidR="00355E95" w:rsidRPr="008E4578" w:rsidRDefault="00355E9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355E95" w:rsidRDefault="00355E9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Učenici Škole sudjelovali su na brojnim natjecanjima kako u znanju tako i u sportu.</w:t>
            </w:r>
          </w:p>
          <w:p w:rsidR="00355E95" w:rsidRDefault="00355E95" w:rsidP="00355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Značajnija postignuća su:</w:t>
            </w:r>
          </w:p>
          <w:p w:rsidR="008C037F" w:rsidRDefault="00355E95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- županijska </w:t>
            </w:r>
            <w:r w:rsidR="003444A6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natjecanj</w:t>
            </w:r>
            <w:r w:rsidR="008C037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 – povijest 3. mjesto, hrvatski jezik 2. i 3. mjesto, njemački jezik </w:t>
            </w:r>
            <w:r w:rsidR="003444A6"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1. mjesto</w:t>
            </w:r>
            <w:r w:rsidR="008C037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badminton 1. i 2. mjesto, stolni tenis 2. mjesto, kros 1. mjesto, mali nogomet 2. mjesto, košarka 1. mjesto, odbojka 1. i 3. mjesto</w:t>
            </w:r>
          </w:p>
          <w:p w:rsidR="008C037F" w:rsidRDefault="008C037F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 vjeronaučna olimpijada 6. mjesto</w:t>
            </w:r>
          </w:p>
          <w:p w:rsidR="008C037F" w:rsidRDefault="008C037F" w:rsidP="008C03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 državna natjecanja – natjecanje šumarski tehničar 4.mjesto, kros 11., 27. i 47. mjesto.</w:t>
            </w:r>
          </w:p>
          <w:p w:rsidR="008C037F" w:rsidRDefault="008C037F" w:rsidP="008C03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3444A6" w:rsidRDefault="003444A6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Srednja škola Otočac je član Međunarodne eko-škole od 2009. godine. Svake dvije godine, kroz kontinuirani rad na eko-temama u koji su uključeni svi učenici, nastavnici i tehničko osoblje škole obnavlja status u međunarodnoj zajednici eko-škola. Školske 2016./2017. godine Srednja škola Otočac je potvrdila zlatni status Međunarodne eko- škole, a od 6. mjeseca 2021. godine Škola ima dijamantni status.</w:t>
            </w:r>
          </w:p>
          <w:p w:rsidR="00277157" w:rsidRDefault="00277157" w:rsidP="00FD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7157" w:rsidRDefault="00277157" w:rsidP="00277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77157">
              <w:rPr>
                <w:rFonts w:ascii="Times New Roman" w:hAnsi="Times New Roman"/>
                <w:sz w:val="20"/>
                <w:szCs w:val="20"/>
              </w:rPr>
              <w:t>Učenici 4. razreda gimnazije su uz mentorstvo profesorice likovne kulture Snježane Jovanić napisali i uredili monografiju pod nazivom „Profana graditeljska baština Otočca“. Naime, nakon jednogodišnjeg istraživačkog rada prikupljeni su vrijedni podatci o zaštićenoj graditeljskoj baštini u gradu Otočcu, a predstavljeno je 13 najvažnijih zgrada u današnjoj zaštićenoj jezgri grada Otočca, njihova povijest, stilske karakteristike i kazivanja starih Otočana. Uz podršku mnogih donatora, a osobito Ministarstva kulture, uspjeli su je i izdati u nakladi od 500 komada i uspješno promovirati u prostoru Srednje škole Otočac 9.6.2022. godine.</w:t>
            </w:r>
          </w:p>
          <w:p w:rsidR="00277157" w:rsidRDefault="005E538B" w:rsidP="005E5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Škola je pristupila novom projektu ERASMUS+ . Naziv projekta 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čiji je nositelj Mađarska a naša Škola je partner. Cilj projekta je inovativni način podučavanja i primjena novih tehnologija u nastavi. </w:t>
            </w:r>
          </w:p>
          <w:p w:rsidR="005E538B" w:rsidRPr="00277157" w:rsidRDefault="005E538B" w:rsidP="005E5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FD7585" w:rsidRPr="00277157" w:rsidRDefault="00FD7585" w:rsidP="0076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 w:rsidRPr="002771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ab/>
            </w:r>
            <w:r w:rsidR="00277157" w:rsidRPr="00277157">
              <w:rPr>
                <w:rFonts w:ascii="Times New Roman" w:hAnsi="Times New Roman"/>
                <w:sz w:val="20"/>
                <w:szCs w:val="20"/>
              </w:rPr>
              <w:t>Srednja škola Otočac jedina ustanova ove vrste u našem Gradu poklanja punu pozornost kulturnoj i javnoj djelatnosti Škole, te se uključuje u sve aktivnosti grada na tom polju. Učenici i nastavnici škole tijekom školske godine sudjelovali su u organizaciji i obilježavanju niza drugih značajnih datuma kao što su: Dan sjećanja na Vukovar, Dani knjige, Dan sjećanja na žrtve Holokausta, obilježavanje Europskog tjedna, Dan ružičastih majica, Dan sigurnijeg interneta, Svjetski dan voda, Svjetski dan planete Zemlje.</w:t>
            </w:r>
            <w:r w:rsidRPr="002771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  <w:p w:rsidR="00100F92" w:rsidRDefault="008E4578" w:rsidP="00277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             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Školska 20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2771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./202</w:t>
            </w:r>
            <w:r w:rsidR="002771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FD7585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. god</w:t>
            </w:r>
            <w:r w:rsidR="002771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ina 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us</w:t>
            </w:r>
            <w:r w:rsidR="002771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pješno je privedena kraju kako</w:t>
            </w:r>
            <w:r w:rsidR="00B951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u</w:t>
            </w:r>
            <w:r w:rsidR="0027715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Školi tako i u Učeničkom dom zahvaljujući uspješnoj suradnju učenika, nastavnika, odgajatelja te ostalih zaposlenika.</w:t>
            </w:r>
          </w:p>
          <w:p w:rsidR="00B9515E" w:rsidRPr="008E4578" w:rsidRDefault="00B9515E" w:rsidP="00277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00F92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F92" w:rsidRPr="004F6E37" w:rsidRDefault="00100F92" w:rsidP="0027715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RAZLOG ODSTUPANJA OD PROŠLOGODIŠNJIH PROJEKCIJA ZA 202</w:t>
            </w:r>
            <w:r w:rsidR="00277157">
              <w:rPr>
                <w:rFonts w:ascii="Times New Roman" w:hAnsi="Times New Roman"/>
                <w:bCs/>
                <w:lang w:eastAsia="ar-SA"/>
              </w:rPr>
              <w:t>3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. I </w:t>
            </w:r>
            <w:r w:rsidR="00277157">
              <w:rPr>
                <w:rFonts w:ascii="Times New Roman" w:hAnsi="Times New Roman"/>
                <w:bCs/>
                <w:lang w:eastAsia="ar-SA"/>
              </w:rPr>
              <w:t>2024.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 GODINU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F92" w:rsidRPr="00C057C1" w:rsidRDefault="00C057C1" w:rsidP="00C057C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057C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 2023. i 2024. godinu je planirano više</w:t>
            </w:r>
            <w:r w:rsidR="0045780D" w:rsidRPr="00C057C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od prošlogodišnjih projekcija zbog planiranja</w:t>
            </w:r>
            <w:r w:rsidRPr="00C057C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C057C1">
              <w:rPr>
                <w:rFonts w:ascii="Times New Roman" w:hAnsi="Times New Roman"/>
                <w:sz w:val="20"/>
                <w:szCs w:val="20"/>
                <w:lang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ovećanja koje s</w:t>
            </w:r>
            <w:r w:rsidRPr="00C057C1">
              <w:rPr>
                <w:rFonts w:ascii="Times New Roman" w:hAnsi="Times New Roman"/>
                <w:sz w:val="20"/>
                <w:szCs w:val="20"/>
                <w:lang w:eastAsia="ar-SA"/>
              </w:rPr>
              <w:t>e odnosi na sredstva za plaće i ostala materijalna prava zaposlenika iz državnog proračuna.</w:t>
            </w:r>
            <w:r w:rsidR="0045780D" w:rsidRPr="00C057C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00F92" w:rsidRPr="004F6E37" w:rsidTr="009833F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100F92" w:rsidRPr="004F6E37" w:rsidRDefault="00100F92" w:rsidP="00100F92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100F92" w:rsidRPr="004F6E37" w:rsidRDefault="008B708F" w:rsidP="00100F92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80DC0" w:rsidRPr="004F6E37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535A25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Srednjoškolsko obrazovanje odraslih</w:t>
            </w:r>
            <w:r w:rsidR="003D44B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i najam prostora </w:t>
            </w:r>
          </w:p>
        </w:tc>
      </w:tr>
      <w:tr w:rsidR="009833FC" w:rsidRPr="004F6E3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C057C1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057C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719" w:rsidRPr="00C057C1" w:rsidRDefault="00674719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t>Srednjoškolsko obrazovanje odraslih ima slijedeće programe:</w:t>
            </w:r>
          </w:p>
          <w:p w:rsidR="00674719" w:rsidRPr="00C057C1" w:rsidRDefault="00674719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t>1.</w:t>
            </w:r>
            <w:r w:rsidR="002B348B" w:rsidRPr="00C057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7C1">
              <w:rPr>
                <w:rFonts w:ascii="Times New Roman" w:hAnsi="Times New Roman"/>
                <w:sz w:val="20"/>
                <w:szCs w:val="20"/>
              </w:rPr>
              <w:t>program za stjecanje srednje stručne spreme u četverogod</w:t>
            </w:r>
            <w:r w:rsidR="002B348B" w:rsidRPr="00C057C1">
              <w:rPr>
                <w:rFonts w:ascii="Times New Roman" w:hAnsi="Times New Roman"/>
                <w:sz w:val="20"/>
                <w:szCs w:val="20"/>
              </w:rPr>
              <w:t xml:space="preserve">išnjim programima za zanimanja: </w:t>
            </w:r>
            <w:r w:rsidRPr="00C057C1">
              <w:rPr>
                <w:rFonts w:ascii="Times New Roman" w:hAnsi="Times New Roman"/>
                <w:sz w:val="20"/>
                <w:szCs w:val="20"/>
              </w:rPr>
              <w:t>šumarski tehničar,  ekonomist,  elektrotehničar</w:t>
            </w:r>
          </w:p>
          <w:p w:rsidR="00674719" w:rsidRPr="00C057C1" w:rsidRDefault="00674719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t>2.</w:t>
            </w:r>
            <w:r w:rsidR="002B348B" w:rsidRPr="00C057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7C1">
              <w:rPr>
                <w:rFonts w:ascii="Times New Roman" w:hAnsi="Times New Roman"/>
                <w:sz w:val="20"/>
                <w:szCs w:val="20"/>
              </w:rPr>
              <w:t>program za stjecanje srednje stručne spreme u trogodišnjim programima za zanimanja:</w:t>
            </w:r>
          </w:p>
          <w:p w:rsidR="00674719" w:rsidRPr="00C057C1" w:rsidRDefault="00674719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t>-prodavač, automehaničar, strojobravar, elektromehaničar, autoelektričar</w:t>
            </w:r>
          </w:p>
          <w:p w:rsidR="00674719" w:rsidRPr="00C057C1" w:rsidRDefault="00674719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t>3.</w:t>
            </w:r>
            <w:r w:rsidR="002B348B" w:rsidRPr="00C057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7C1">
              <w:rPr>
                <w:rFonts w:ascii="Times New Roman" w:hAnsi="Times New Roman"/>
                <w:sz w:val="20"/>
                <w:szCs w:val="20"/>
              </w:rPr>
              <w:t>program prekvalifikacije u svim navedenim zanimanjima</w:t>
            </w:r>
          </w:p>
          <w:p w:rsidR="00674719" w:rsidRPr="00C057C1" w:rsidRDefault="00674719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2B348B" w:rsidRPr="00C057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7C1">
              <w:rPr>
                <w:rFonts w:ascii="Times New Roman" w:hAnsi="Times New Roman"/>
                <w:sz w:val="20"/>
                <w:szCs w:val="20"/>
              </w:rPr>
              <w:t>program učenja stranog jezika</w:t>
            </w:r>
          </w:p>
          <w:p w:rsidR="009833FC" w:rsidRPr="00C057C1" w:rsidRDefault="00674719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t>5.</w:t>
            </w:r>
            <w:r w:rsidR="002B348B" w:rsidRPr="00C057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7C1">
              <w:rPr>
                <w:rFonts w:ascii="Times New Roman" w:hAnsi="Times New Roman"/>
                <w:sz w:val="20"/>
                <w:szCs w:val="20"/>
              </w:rPr>
              <w:t>osposobljavanja za računalnog operatera</w:t>
            </w:r>
          </w:p>
          <w:p w:rsidR="00C057C1" w:rsidRDefault="00C057C1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t xml:space="preserve">6. osposobljavanje </w:t>
            </w:r>
            <w:r w:rsidR="007A0FFC">
              <w:rPr>
                <w:rFonts w:ascii="Times New Roman" w:hAnsi="Times New Roman"/>
                <w:sz w:val="20"/>
                <w:szCs w:val="20"/>
              </w:rPr>
              <w:t>za obavljanje poslova njegovatelja starijih i nemoćnih osoba</w:t>
            </w:r>
          </w:p>
          <w:p w:rsidR="007A0FFC" w:rsidRPr="00C057C1" w:rsidRDefault="007A0FFC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osposobljavanje za obavljanje poslova knjigovođe</w:t>
            </w:r>
          </w:p>
          <w:p w:rsidR="003D44B2" w:rsidRPr="00C057C1" w:rsidRDefault="003D44B2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4B2" w:rsidRPr="00C057C1" w:rsidRDefault="003D44B2" w:rsidP="00674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7C1">
              <w:rPr>
                <w:rFonts w:ascii="Times New Roman" w:hAnsi="Times New Roman"/>
                <w:sz w:val="20"/>
                <w:szCs w:val="20"/>
              </w:rPr>
              <w:t>Škola iznajmljuje prostor za kantinu , učionički prostor i sportsku dvoranu za održavanje raznih sportskih aktivnosti mladih.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8E4578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8E4578" w:rsidRDefault="006E6615" w:rsidP="0015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S</w:t>
            </w:r>
            <w:r w:rsidR="00153DBF" w:rsidRPr="008E4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tjecanje srednje stručne spreme u zanimanjima: </w:t>
            </w:r>
            <w:r w:rsidR="00153DBF" w:rsidRPr="008E4578">
              <w:rPr>
                <w:rFonts w:ascii="Times New Roman" w:hAnsi="Times New Roman"/>
                <w:sz w:val="20"/>
                <w:szCs w:val="20"/>
              </w:rPr>
              <w:t>ekonomist, šumarski tehničar, prodavač, elektromehaničar, elektrotehničar, autoelektričar i automehaničar.</w:t>
            </w:r>
          </w:p>
          <w:p w:rsidR="00153DBF" w:rsidRPr="008E4578" w:rsidRDefault="00153DBF" w:rsidP="0015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Prekvalifikacija za navedena zanimanja. </w:t>
            </w:r>
          </w:p>
          <w:p w:rsidR="00153DBF" w:rsidRPr="008E4578" w:rsidRDefault="00153DBF" w:rsidP="0015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Učenje engleskog i njemačkog jezika na A1 i A2 razini.</w:t>
            </w:r>
          </w:p>
          <w:p w:rsidR="00153DBF" w:rsidRDefault="00153DBF" w:rsidP="0015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Osposobljavanje za računalnog operatera.</w:t>
            </w:r>
          </w:p>
          <w:p w:rsidR="007A0FFC" w:rsidRDefault="007A0FFC" w:rsidP="0015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Osposobljavanje za obavljanje poslova njegovatelja starijih i nemoćnih osoba.</w:t>
            </w:r>
          </w:p>
          <w:p w:rsidR="007A0FFC" w:rsidRDefault="007A0FFC" w:rsidP="0015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Osposobljavanje za obavljanje poslova knjigovođe.</w:t>
            </w:r>
          </w:p>
          <w:p w:rsidR="003D44B2" w:rsidRDefault="003D44B2" w:rsidP="0015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44B2" w:rsidRPr="008E4578" w:rsidRDefault="003D44B2" w:rsidP="0015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Prostor sportske dvorane iznajmljuje se većinom za sportske aktivnosti djece i mladih i cilj mu je što više mladih uključiti u sportske aktivnosti.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8E4578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2FF" w:rsidRDefault="00762D38" w:rsidP="000772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7A0FFC">
              <w:rPr>
                <w:rFonts w:ascii="Times New Roman" w:hAnsi="Times New Roman"/>
                <w:sz w:val="20"/>
                <w:szCs w:val="20"/>
              </w:rPr>
              <w:t>2021./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>202</w:t>
            </w:r>
            <w:r w:rsidR="007A0FFC">
              <w:rPr>
                <w:rFonts w:ascii="Times New Roman" w:hAnsi="Times New Roman"/>
                <w:sz w:val="20"/>
                <w:szCs w:val="20"/>
              </w:rPr>
              <w:t>2</w:t>
            </w:r>
            <w:r w:rsidR="000772FF" w:rsidRPr="008E4578">
              <w:rPr>
                <w:rFonts w:ascii="Times New Roman" w:hAnsi="Times New Roman"/>
                <w:sz w:val="20"/>
                <w:szCs w:val="20"/>
              </w:rPr>
              <w:t>. š</w:t>
            </w:r>
            <w:r w:rsidR="00461984" w:rsidRPr="008E4578">
              <w:rPr>
                <w:rFonts w:ascii="Times New Roman" w:hAnsi="Times New Roman"/>
                <w:sz w:val="20"/>
                <w:szCs w:val="20"/>
              </w:rPr>
              <w:t>kolsk</w:t>
            </w:r>
            <w:r w:rsidR="00CE4B5D">
              <w:rPr>
                <w:rFonts w:ascii="Times New Roman" w:hAnsi="Times New Roman"/>
                <w:sz w:val="20"/>
                <w:szCs w:val="20"/>
              </w:rPr>
              <w:t>oj</w:t>
            </w:r>
            <w:r w:rsidR="00461984" w:rsidRPr="008E4578">
              <w:rPr>
                <w:rFonts w:ascii="Times New Roman" w:hAnsi="Times New Roman"/>
                <w:sz w:val="20"/>
                <w:szCs w:val="20"/>
              </w:rPr>
              <w:t xml:space="preserve"> godin</w:t>
            </w:r>
            <w:r w:rsidR="00CE4B5D">
              <w:rPr>
                <w:rFonts w:ascii="Times New Roman" w:hAnsi="Times New Roman"/>
                <w:sz w:val="20"/>
                <w:szCs w:val="20"/>
              </w:rPr>
              <w:t>i upisan je  21 polaznik</w:t>
            </w:r>
            <w:r w:rsidR="000772FF" w:rsidRPr="008E45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E4B5D" w:rsidRDefault="00CE4B5D" w:rsidP="000772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032"/>
              <w:gridCol w:w="1134"/>
              <w:gridCol w:w="1275"/>
              <w:gridCol w:w="1560"/>
              <w:gridCol w:w="1594"/>
            </w:tblGrid>
            <w:tr w:rsidR="00CE4B5D" w:rsidTr="00CE4B5D">
              <w:tc>
                <w:tcPr>
                  <w:tcW w:w="1318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</w:tcPr>
                <w:p w:rsidR="00CE4B5D" w:rsidRP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4B5D">
                    <w:rPr>
                      <w:rFonts w:ascii="Times New Roman" w:hAnsi="Times New Roman"/>
                      <w:sz w:val="16"/>
                      <w:szCs w:val="16"/>
                    </w:rPr>
                    <w:t>ELEKTRO-TEHNIČAR</w:t>
                  </w:r>
                </w:p>
              </w:tc>
              <w:tc>
                <w:tcPr>
                  <w:tcW w:w="1134" w:type="dxa"/>
                </w:tcPr>
                <w:p w:rsidR="00CE4B5D" w:rsidRP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ŠUMARSKI TEHNIČAR</w:t>
                  </w:r>
                </w:p>
              </w:tc>
              <w:tc>
                <w:tcPr>
                  <w:tcW w:w="1275" w:type="dxa"/>
                </w:tcPr>
                <w:p w:rsidR="00CE4B5D" w:rsidRP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EKONOMIST</w:t>
                  </w:r>
                </w:p>
              </w:tc>
              <w:tc>
                <w:tcPr>
                  <w:tcW w:w="1560" w:type="dxa"/>
                </w:tcPr>
                <w:p w:rsidR="00CE4B5D" w:rsidRP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STROJOBRAVAR</w:t>
                  </w:r>
                </w:p>
              </w:tc>
              <w:tc>
                <w:tcPr>
                  <w:tcW w:w="1594" w:type="dxa"/>
                </w:tcPr>
                <w:p w:rsidR="00CE4B5D" w:rsidRP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AUTO-MEHANIČAR</w:t>
                  </w:r>
                </w:p>
              </w:tc>
            </w:tr>
            <w:tr w:rsidR="00CE4B5D" w:rsidTr="00CE4B5D">
              <w:tc>
                <w:tcPr>
                  <w:tcW w:w="1318" w:type="dxa"/>
                </w:tcPr>
                <w:p w:rsidR="00CE4B5D" w:rsidRP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E4B5D">
                    <w:rPr>
                      <w:rFonts w:ascii="Times New Roman" w:hAnsi="Times New Roman"/>
                      <w:sz w:val="16"/>
                      <w:szCs w:val="16"/>
                    </w:rPr>
                    <w:t>Prekvalifikacija</w:t>
                  </w:r>
                </w:p>
              </w:tc>
              <w:tc>
                <w:tcPr>
                  <w:tcW w:w="1032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4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CE4B5D" w:rsidTr="00CE4B5D">
              <w:tc>
                <w:tcPr>
                  <w:tcW w:w="1318" w:type="dxa"/>
                </w:tcPr>
                <w:p w:rsidR="00CE4B5D" w:rsidRP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Redoviti oblik školovanja</w:t>
                  </w:r>
                </w:p>
              </w:tc>
              <w:tc>
                <w:tcPr>
                  <w:tcW w:w="1032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94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CE4B5D" w:rsidTr="00CE4B5D">
              <w:tc>
                <w:tcPr>
                  <w:tcW w:w="1318" w:type="dxa"/>
                </w:tcPr>
                <w:p w:rsidR="00CE4B5D" w:rsidRP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Ukupno</w:t>
                  </w:r>
                </w:p>
              </w:tc>
              <w:tc>
                <w:tcPr>
                  <w:tcW w:w="1032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4" w:type="dxa"/>
                </w:tcPr>
                <w:p w:rsidR="00CE4B5D" w:rsidRDefault="00CE4B5D" w:rsidP="000772FF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E4B5D" w:rsidRDefault="00CE4B5D" w:rsidP="000772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4B5D" w:rsidRPr="00CE4B5D" w:rsidRDefault="00CE4B5D" w:rsidP="000772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B5D">
              <w:rPr>
                <w:rFonts w:ascii="Times New Roman" w:hAnsi="Times New Roman"/>
                <w:sz w:val="20"/>
                <w:szCs w:val="20"/>
              </w:rPr>
              <w:t>Od navedenih polaznika završni rad u zimskom roku obranio je 1 polaznik zanimanja prodavač, a u ljetnom roku 11 polaznika i to: 8 elektrotehničara, 2 šumarska tehničara, 1 elektromehaničar. U izvanrednom roku, koji je proveden uz suglasnost Ministarstva znanosti i obrazovanja u svibnju 2022. godine, završni rad obranio je 1 polaznik zanimanja strojobravar.</w:t>
            </w:r>
          </w:p>
          <w:p w:rsidR="00CE4B5D" w:rsidRPr="00CE4B5D" w:rsidRDefault="00CE4B5D" w:rsidP="000772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4082" w:rsidRDefault="00762D38" w:rsidP="00813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U obrazovanju odraslih uz vo</w:t>
            </w:r>
            <w:r w:rsidR="00CE4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di</w:t>
            </w:r>
            <w:r w:rsidR="003230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teljicu</w:t>
            </w:r>
            <w:r w:rsidR="00CE4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obrazovanja i ravnateljicu Škole </w:t>
            </w:r>
            <w:r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bilo</w:t>
            </w:r>
            <w:r w:rsidR="00CE4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je angažirano 20</w:t>
            </w:r>
            <w:r w:rsidR="00813603" w:rsidRPr="008E457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CE4B5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nastavnika i </w:t>
            </w:r>
            <w:r w:rsidR="003230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>3 radnice angažirane za obavljanje administrativnih i računovodstvenih poslova.</w:t>
            </w:r>
          </w:p>
          <w:p w:rsidR="00B5060F" w:rsidRDefault="00B5060F" w:rsidP="00813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B5060F" w:rsidRPr="008E4578" w:rsidRDefault="00B5060F" w:rsidP="00813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r-HR"/>
              </w:rPr>
              <w:t xml:space="preserve">Klubovi su održavali treninge i utakmice tijekom cijele Školske godine i postizali su dobre uspjehe. </w:t>
            </w:r>
          </w:p>
        </w:tc>
      </w:tr>
      <w:tr w:rsidR="009833FC" w:rsidRPr="004F6E3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8E4578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0B6" w:rsidRDefault="00535A25" w:rsidP="00535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Izvođenje  srednjoškolskog obrazovanja odraslih odobreno je važećim rješenjima Ministarstva znanosti, obrazovanja i športa KLASA: UP/I-602-07/01-01/115, URBROJ: 532-02-02/6-01-01 od 24. travnja 2001. godine i KLASA: UP/I-602-07/02-01/131, URBROJ: 532-02-02-02/4-03-1 od 14. ožujka 2003. godine. Na izmijenjene programe Ministarstvo je dalo pozitivno stručno mišljenje KLASA: 602- 03/09-05/00319, URBROJ: 533-09-09-0002 od 18. prosinca 2009. godine. </w:t>
            </w:r>
          </w:p>
          <w:p w:rsidR="003230B6" w:rsidRPr="003230B6" w:rsidRDefault="003230B6" w:rsidP="003230B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3230B6">
              <w:rPr>
                <w:rFonts w:ascii="Times New Roman" w:hAnsi="Times New Roman"/>
                <w:sz w:val="20"/>
                <w:szCs w:val="20"/>
              </w:rPr>
              <w:t>Izvođenje strukovnog kurikuluma za stjecanje kvalifikacije prodavač te strukovnog</w:t>
            </w:r>
          </w:p>
          <w:p w:rsidR="003230B6" w:rsidRPr="003230B6" w:rsidRDefault="003230B6" w:rsidP="003230B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3230B6">
              <w:rPr>
                <w:rFonts w:ascii="Times New Roman" w:hAnsi="Times New Roman"/>
                <w:sz w:val="20"/>
                <w:szCs w:val="20"/>
              </w:rPr>
              <w:t>kurikuluma za stjecanje kvalifikacije ekonomist odobreno je rješenjem Ministarstva znanosti i</w:t>
            </w:r>
          </w:p>
          <w:p w:rsidR="003230B6" w:rsidRPr="003230B6" w:rsidRDefault="003230B6" w:rsidP="003230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0B6">
              <w:rPr>
                <w:rFonts w:ascii="Times New Roman" w:hAnsi="Times New Roman"/>
                <w:sz w:val="20"/>
                <w:szCs w:val="20"/>
              </w:rPr>
              <w:t>obrazovanja KLASA: UP/I-602-03/18-05/00156, URBROJ: 533-05-18-0006 od 19. listopada</w:t>
            </w:r>
          </w:p>
          <w:p w:rsidR="003230B6" w:rsidRDefault="003230B6" w:rsidP="003230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0B6">
              <w:rPr>
                <w:rFonts w:ascii="Times New Roman" w:hAnsi="Times New Roman"/>
                <w:sz w:val="20"/>
                <w:szCs w:val="20"/>
              </w:rPr>
              <w:t>2018. godine.</w:t>
            </w:r>
          </w:p>
          <w:p w:rsidR="00535A25" w:rsidRPr="008E4578" w:rsidRDefault="00535A25" w:rsidP="00535A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 Izvođenje programa učenja engleskog jezika odobreno je rješenjem Ministarstva znanosti, obrazovanja i sporta KLASA: UP/I-602-07/09-03/00149, URBROJ: 533-09-09-0002 od 21. prosinca 2009. godine. </w:t>
            </w:r>
          </w:p>
          <w:p w:rsidR="009833FC" w:rsidRDefault="00535A25" w:rsidP="00535A25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Izvođenje programa učenja njemačkog jezika odobreno je rješenjem Ministarstva znanosti, obrazovanja i sporta KLASA: UP/I-602-03/14-05/00120, URBROJ: 5</w:t>
            </w:r>
            <w:r w:rsidR="003230B6">
              <w:rPr>
                <w:rFonts w:ascii="Times New Roman" w:hAnsi="Times New Roman"/>
                <w:sz w:val="20"/>
                <w:szCs w:val="20"/>
              </w:rPr>
              <w:t>33-25-14-0002 od 30. srpnja 2014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>. godine.</w:t>
            </w:r>
          </w:p>
          <w:p w:rsidR="003230B6" w:rsidRDefault="003230B6" w:rsidP="00323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Izvođenje </w:t>
            </w:r>
            <w:r w:rsidRPr="003230B6">
              <w:rPr>
                <w:rFonts w:ascii="Times New Roman" w:hAnsi="Times New Roman"/>
                <w:sz w:val="20"/>
                <w:szCs w:val="20"/>
              </w:rPr>
              <w:t xml:space="preserve"> programa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osposobljavanje za obavljanje poslova njegovatelja starijih i nemoćnih osoba </w:t>
            </w:r>
          </w:p>
          <w:p w:rsidR="003230B6" w:rsidRPr="003230B6" w:rsidRDefault="003230B6" w:rsidP="00323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osposobljavanje za obavljanje poslova knjigovođe </w:t>
            </w:r>
            <w:r w:rsidRPr="003230B6">
              <w:rPr>
                <w:rFonts w:ascii="Times New Roman" w:hAnsi="Times New Roman"/>
                <w:sz w:val="20"/>
                <w:szCs w:val="20"/>
              </w:rPr>
              <w:t>odobreno je Rješenjem Ministarstvo znanosti i</w:t>
            </w:r>
          </w:p>
          <w:p w:rsidR="003230B6" w:rsidRPr="003230B6" w:rsidRDefault="003230B6" w:rsidP="003230B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0B6">
              <w:rPr>
                <w:rFonts w:ascii="Times New Roman" w:hAnsi="Times New Roman"/>
                <w:sz w:val="20"/>
                <w:szCs w:val="20"/>
              </w:rPr>
              <w:t>obrazovanja, KLASA: UP/I-602-07/22-03/00030, URBROJ: 533-05-22-0004 od 5. svibnja</w:t>
            </w:r>
          </w:p>
          <w:p w:rsidR="003230B6" w:rsidRDefault="003230B6" w:rsidP="003230B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0B6">
              <w:rPr>
                <w:rFonts w:ascii="Times New Roman" w:hAnsi="Times New Roman"/>
                <w:sz w:val="20"/>
                <w:szCs w:val="20"/>
              </w:rPr>
              <w:t>2022. godine.</w:t>
            </w:r>
          </w:p>
          <w:p w:rsidR="003230B6" w:rsidRDefault="003230B6" w:rsidP="00535A25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060F" w:rsidRPr="008E4578" w:rsidRDefault="00B5060F" w:rsidP="00535A25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Utakmice i treninzi su se održavali temeljem sklopljenih Ugovora sa Školom.</w:t>
            </w:r>
          </w:p>
        </w:tc>
      </w:tr>
      <w:tr w:rsidR="009833FC" w:rsidRPr="004F6E3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8E4578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2FF" w:rsidRPr="008E4578" w:rsidRDefault="000772FF" w:rsidP="00077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U srednjoškolskom obr</w:t>
            </w:r>
            <w:r w:rsidR="003230B6">
              <w:rPr>
                <w:rFonts w:ascii="Times New Roman" w:hAnsi="Times New Roman"/>
                <w:sz w:val="20"/>
                <w:szCs w:val="20"/>
              </w:rPr>
              <w:t xml:space="preserve">azovanju angažirano je 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 xml:space="preserve"> ukupno 2</w:t>
            </w:r>
            <w:r w:rsidR="003230B6">
              <w:rPr>
                <w:rFonts w:ascii="Times New Roman" w:hAnsi="Times New Roman"/>
                <w:sz w:val="20"/>
                <w:szCs w:val="20"/>
              </w:rPr>
              <w:t>0</w:t>
            </w:r>
            <w:r w:rsidR="006E5B71" w:rsidRPr="008E4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>nastavnik</w:t>
            </w:r>
            <w:r w:rsidR="0000637D" w:rsidRPr="008E4578">
              <w:rPr>
                <w:rFonts w:ascii="Times New Roman" w:hAnsi="Times New Roman"/>
                <w:sz w:val="20"/>
                <w:szCs w:val="20"/>
              </w:rPr>
              <w:t>a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30B6">
              <w:rPr>
                <w:rFonts w:ascii="Times New Roman" w:hAnsi="Times New Roman"/>
                <w:sz w:val="20"/>
                <w:szCs w:val="20"/>
              </w:rPr>
              <w:t xml:space="preserve">ravnateljica Škole, 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>voditeljica srednjoškolskog obrazovanje odraslih, voditelj</w:t>
            </w:r>
            <w:r w:rsidR="00813603" w:rsidRPr="008E4578">
              <w:rPr>
                <w:rFonts w:ascii="Times New Roman" w:hAnsi="Times New Roman"/>
                <w:sz w:val="20"/>
                <w:szCs w:val="20"/>
              </w:rPr>
              <w:t>ica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 xml:space="preserve"> računovodstva, računo</w:t>
            </w:r>
            <w:r w:rsidR="0000637D" w:rsidRPr="008E4578">
              <w:rPr>
                <w:rFonts w:ascii="Times New Roman" w:hAnsi="Times New Roman"/>
                <w:sz w:val="20"/>
                <w:szCs w:val="20"/>
              </w:rPr>
              <w:t>vodstven</w:t>
            </w:r>
            <w:r w:rsidR="00813603" w:rsidRPr="008E4578">
              <w:rPr>
                <w:rFonts w:ascii="Times New Roman" w:hAnsi="Times New Roman"/>
                <w:sz w:val="20"/>
                <w:szCs w:val="20"/>
              </w:rPr>
              <w:t>a</w:t>
            </w:r>
            <w:r w:rsidR="0000637D" w:rsidRPr="008E4578">
              <w:rPr>
                <w:rFonts w:ascii="Times New Roman" w:hAnsi="Times New Roman"/>
                <w:sz w:val="20"/>
                <w:szCs w:val="20"/>
              </w:rPr>
              <w:t xml:space="preserve"> referent</w:t>
            </w:r>
            <w:r w:rsidR="003230B6">
              <w:rPr>
                <w:rFonts w:ascii="Times New Roman" w:hAnsi="Times New Roman"/>
                <w:sz w:val="20"/>
                <w:szCs w:val="20"/>
              </w:rPr>
              <w:t>ica/administratorica te tajnica Škole.</w:t>
            </w:r>
          </w:p>
          <w:p w:rsidR="000772FF" w:rsidRPr="008E4578" w:rsidRDefault="000772FF" w:rsidP="00F1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Broj </w:t>
            </w:r>
            <w:r w:rsidR="00F120AC">
              <w:rPr>
                <w:rFonts w:ascii="Times New Roman" w:hAnsi="Times New Roman"/>
                <w:sz w:val="20"/>
                <w:szCs w:val="20"/>
              </w:rPr>
              <w:t xml:space="preserve">upisanih </w:t>
            </w:r>
            <w:r w:rsidRPr="008E4578">
              <w:rPr>
                <w:rFonts w:ascii="Times New Roman" w:hAnsi="Times New Roman"/>
                <w:sz w:val="20"/>
                <w:szCs w:val="20"/>
              </w:rPr>
              <w:t xml:space="preserve">polaznika je </w:t>
            </w:r>
            <w:r w:rsidR="00F120AC">
              <w:rPr>
                <w:rFonts w:ascii="Times New Roman" w:hAnsi="Times New Roman"/>
                <w:sz w:val="20"/>
                <w:szCs w:val="20"/>
              </w:rPr>
              <w:t>vidno porastao u odnosu na školsku 2020./2021. godinu kada je bilo upisano samo 8 polaznika.</w:t>
            </w:r>
          </w:p>
        </w:tc>
      </w:tr>
      <w:tr w:rsidR="009833FC" w:rsidRPr="004F6E37" w:rsidTr="00406D3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8"/>
              <w:gridCol w:w="1559"/>
              <w:gridCol w:w="1559"/>
              <w:gridCol w:w="1456"/>
            </w:tblGrid>
            <w:tr w:rsidR="00406D37" w:rsidRPr="00B13811" w:rsidTr="00463BDB">
              <w:tc>
                <w:tcPr>
                  <w:tcW w:w="2638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C84E23" w:rsidP="00296F4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B13811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9550B8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="004F6E37" w:rsidRPr="00B13811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C84E23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B13811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9550B8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="004F6E37" w:rsidRPr="00B13811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56" w:type="dxa"/>
                  <w:shd w:val="clear" w:color="auto" w:fill="auto"/>
                </w:tcPr>
                <w:p w:rsidR="009833FC" w:rsidRPr="00B13811" w:rsidRDefault="00C84E23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524CD1" w:rsidRPr="00B13811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9550B8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="004F6E37" w:rsidRPr="00B13811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406D37" w:rsidRPr="00B13811" w:rsidTr="00463BDB">
              <w:tc>
                <w:tcPr>
                  <w:tcW w:w="2638" w:type="dxa"/>
                  <w:shd w:val="clear" w:color="auto" w:fill="auto"/>
                </w:tcPr>
                <w:p w:rsidR="009833FC" w:rsidRPr="00B13811" w:rsidRDefault="009833FC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lang w:eastAsia="ar-SA"/>
                    </w:rPr>
                    <w:t xml:space="preserve">Proračun </w:t>
                  </w:r>
                  <w:r w:rsidR="00796467" w:rsidRPr="00B13811">
                    <w:rPr>
                      <w:rFonts w:ascii="Times New Roman" w:hAnsi="Times New Roman"/>
                      <w:lang w:eastAsia="ar-SA"/>
                    </w:rPr>
                    <w:t>LSŽ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B13811" w:rsidTr="00463BDB">
              <w:tc>
                <w:tcPr>
                  <w:tcW w:w="2638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B13811" w:rsidTr="00463BDB">
              <w:tc>
                <w:tcPr>
                  <w:tcW w:w="2638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B13811" w:rsidTr="00463BDB">
              <w:tc>
                <w:tcPr>
                  <w:tcW w:w="2638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9550B8" w:rsidRPr="00B13811" w:rsidTr="00463BDB">
              <w:tc>
                <w:tcPr>
                  <w:tcW w:w="2638" w:type="dxa"/>
                  <w:shd w:val="clear" w:color="auto" w:fill="auto"/>
                </w:tcPr>
                <w:p w:rsidR="009550B8" w:rsidRPr="00B13811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Vlastita sredstva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0B8" w:rsidRPr="00B13811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48.443,84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0B8" w:rsidRPr="00B13811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48.443,84</w:t>
                  </w:r>
                </w:p>
              </w:tc>
              <w:tc>
                <w:tcPr>
                  <w:tcW w:w="1456" w:type="dxa"/>
                  <w:shd w:val="clear" w:color="auto" w:fill="auto"/>
                </w:tcPr>
                <w:p w:rsidR="009550B8" w:rsidRPr="00B13811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48.443,84</w:t>
                  </w:r>
                </w:p>
              </w:tc>
            </w:tr>
            <w:tr w:rsidR="00406D37" w:rsidRPr="00B13811" w:rsidTr="00463BDB">
              <w:tc>
                <w:tcPr>
                  <w:tcW w:w="2638" w:type="dxa"/>
                  <w:shd w:val="clear" w:color="auto" w:fill="auto"/>
                </w:tcPr>
                <w:p w:rsidR="009833FC" w:rsidRPr="00B13811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63BD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3FC" w:rsidRPr="00B13811" w:rsidRDefault="009833FC" w:rsidP="00463BD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</w:tcPr>
                <w:p w:rsidR="009833FC" w:rsidRPr="00B13811" w:rsidRDefault="009833FC" w:rsidP="00463BD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9550B8" w:rsidRPr="00B13811" w:rsidTr="00463BDB">
              <w:tc>
                <w:tcPr>
                  <w:tcW w:w="2638" w:type="dxa"/>
                  <w:shd w:val="clear" w:color="auto" w:fill="auto"/>
                </w:tcPr>
                <w:p w:rsidR="009550B8" w:rsidRPr="00B13811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B13811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0B8" w:rsidRPr="00B13811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48.443,84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0B8" w:rsidRPr="00B13811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48.443,84</w:t>
                  </w:r>
                </w:p>
              </w:tc>
              <w:tc>
                <w:tcPr>
                  <w:tcW w:w="1456" w:type="dxa"/>
                  <w:shd w:val="clear" w:color="auto" w:fill="auto"/>
                </w:tcPr>
                <w:p w:rsidR="009550B8" w:rsidRPr="00B13811" w:rsidRDefault="009550B8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48.443,84</w:t>
                  </w:r>
                </w:p>
              </w:tc>
            </w:tr>
          </w:tbl>
          <w:p w:rsidR="009833FC" w:rsidRPr="00B13811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9833FC" w:rsidRPr="00B13811" w:rsidRDefault="009833FC" w:rsidP="00F120AC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0AC" w:rsidRPr="00CE4B5D" w:rsidRDefault="00F120AC" w:rsidP="00F120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B5D">
              <w:rPr>
                <w:rFonts w:ascii="Times New Roman" w:hAnsi="Times New Roman"/>
                <w:sz w:val="20"/>
                <w:szCs w:val="20"/>
              </w:rPr>
              <w:t>Od navedenih polaznika završni rad u zimskom roku obranio je 1 polaznik zanimanja prodavač, a u ljetnom roku 11 polaznika i to: 8 elektrotehničara, 2 šumarska tehničara, 1 elektromehaničar. U izvanrednom roku, koji je proveden uz suglasnost Ministarstva znanosti i obrazovanja u svibnju 2022. godine, završni rad obranio je 1 polaznik zanimanja strojobravar.</w:t>
            </w:r>
          </w:p>
          <w:p w:rsidR="00F120AC" w:rsidRPr="00CE4B5D" w:rsidRDefault="00F120AC" w:rsidP="00F120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3FC" w:rsidRDefault="00F120AC" w:rsidP="004619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Postignut je i cilj upisa većeg broja polaznika tako je u školskoj 2021./2022. godini upisan 21 polaznik što je za 13 polaznika više nego prethodne.</w:t>
            </w:r>
          </w:p>
          <w:p w:rsidR="00F120AC" w:rsidRDefault="00F120AC" w:rsidP="004619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120AC" w:rsidRDefault="00F120AC" w:rsidP="004619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Što se tiče najma sportske dvorane cilj je da se što više mladih bavi sportom i da se održavaju razni turniri i utakmice što je i ostvareno.</w:t>
            </w:r>
          </w:p>
          <w:p w:rsidR="00B5060F" w:rsidRPr="008E4578" w:rsidRDefault="00B5060F" w:rsidP="004619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F120AC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R</w:t>
            </w:r>
            <w:r w:rsidR="00F120AC">
              <w:rPr>
                <w:rFonts w:ascii="Times New Roman" w:hAnsi="Times New Roman"/>
                <w:bCs/>
                <w:lang w:eastAsia="ar-SA"/>
              </w:rPr>
              <w:t>OŠLOGODIŠNJIH PROJEKCIJA ZA 2023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F120AC">
              <w:rPr>
                <w:rFonts w:ascii="Times New Roman" w:hAnsi="Times New Roman"/>
                <w:bCs/>
                <w:lang w:eastAsia="ar-SA"/>
              </w:rPr>
              <w:t>4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0AC" w:rsidRPr="008E4578" w:rsidRDefault="00F120AC" w:rsidP="00F1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 za 2023. godinu i projekcije za 2024. godinu </w:t>
            </w:r>
            <w:r w:rsidR="004E5411">
              <w:rPr>
                <w:rFonts w:ascii="Times New Roman" w:hAnsi="Times New Roman"/>
                <w:sz w:val="20"/>
                <w:szCs w:val="20"/>
              </w:rPr>
              <w:t xml:space="preserve">na prihodima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 planirane </w:t>
            </w:r>
            <w:r w:rsidR="004E5411">
              <w:rPr>
                <w:rFonts w:ascii="Times New Roman" w:hAnsi="Times New Roman"/>
                <w:sz w:val="20"/>
                <w:szCs w:val="20"/>
              </w:rPr>
              <w:t xml:space="preserve">u gotovo istom iznosu kao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prošlogodišnje projekcije </w:t>
            </w:r>
            <w:r w:rsidR="004E5411">
              <w:rPr>
                <w:rFonts w:ascii="Times New Roman" w:hAnsi="Times New Roman"/>
                <w:sz w:val="20"/>
                <w:szCs w:val="20"/>
              </w:rPr>
              <w:t>ali su rashodi planirani manji zbog manjka prihoda i primitaka radi pokrića pozajmice od nadležnog proračuna.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3FC" w:rsidRPr="008E4578" w:rsidRDefault="009833FC" w:rsidP="004578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FC" w:rsidRPr="004F6E3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3E1120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740D9" w:rsidRDefault="00D740D9" w:rsidP="003E112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E5411" w:rsidRDefault="004E5411" w:rsidP="003E112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7866" w:rsidRDefault="008A7866" w:rsidP="003E112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E5411" w:rsidRPr="004F6E37" w:rsidRDefault="004E5411" w:rsidP="003E112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893"/>
        <w:gridCol w:w="45"/>
      </w:tblGrid>
      <w:tr w:rsidR="007E37F8" w:rsidRPr="004F6E37" w:rsidTr="0097418F">
        <w:trPr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gridSpan w:val="2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8A36CF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Smještaj učenika u Učeničkom domu Srednje škole Otočac</w:t>
            </w:r>
            <w:r w:rsidR="00B506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i prihodi ostvareni od uplata učenika u svrhu stručnih ekskurzija</w:t>
            </w:r>
          </w:p>
        </w:tc>
      </w:tr>
      <w:tr w:rsidR="007E37F8" w:rsidRPr="004F6E37" w:rsidTr="0097418F">
        <w:trPr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CF" w:rsidRPr="008E4578" w:rsidRDefault="008A36CF" w:rsidP="008A3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Osnovna djelatnost Učeničkog doma je:</w:t>
            </w:r>
          </w:p>
          <w:p w:rsidR="008A36CF" w:rsidRPr="008E4578" w:rsidRDefault="008A36CF" w:rsidP="008A3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 organiziranje smještaja i prehrane u Domu učenika Škole;</w:t>
            </w:r>
          </w:p>
          <w:p w:rsidR="008A36CF" w:rsidRPr="008E4578" w:rsidRDefault="008A36CF" w:rsidP="008A3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 ostvarivanje programa odgojno-obrazovnog rada s učenicima;</w:t>
            </w:r>
          </w:p>
          <w:p w:rsidR="008A36CF" w:rsidRPr="008E4578" w:rsidRDefault="008A36CF" w:rsidP="008A3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 ostvarivanje kulturno-umjetničkih aktivnosti učenika;</w:t>
            </w:r>
          </w:p>
          <w:p w:rsidR="008A36CF" w:rsidRPr="008E4578" w:rsidRDefault="008A36CF" w:rsidP="008A3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 organiziranje tehničkih i sportskih aktivnosti učenika;</w:t>
            </w:r>
          </w:p>
          <w:p w:rsidR="008A36CF" w:rsidRPr="008E4578" w:rsidRDefault="008A36CF" w:rsidP="008A3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 uređenje i obavljanje ostalih poslova vezanih uz ostvarivanje djelatnosti srednjeg školstva.</w:t>
            </w:r>
          </w:p>
          <w:p w:rsidR="007E37F8" w:rsidRDefault="008A36CF" w:rsidP="00715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lastRenderedPageBreak/>
              <w:t>Dodatna djelatnost Doma je ugostiteljska djelatnost koju dom pruža skupinama i drugim zainteresiranim osobama, a u skladu sa slobodnim smještajnim kapacitetom.</w:t>
            </w:r>
          </w:p>
          <w:p w:rsidR="00B5060F" w:rsidRDefault="00B5060F" w:rsidP="00715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60F" w:rsidRPr="008E4578" w:rsidRDefault="00B5060F" w:rsidP="00715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Učenici za odlazak na stručne ekskurzije izvršavaju uplate za provedbu istog.</w:t>
            </w:r>
          </w:p>
        </w:tc>
      </w:tr>
      <w:tr w:rsidR="007E37F8" w:rsidRPr="004F6E37" w:rsidTr="0097418F">
        <w:trPr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CILJ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C9" w:rsidRDefault="00127DC9" w:rsidP="00CE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Primarna zadaća doma je ostvarivanje odgojno-obrazovnih ciljeva kako bi učenici uspješno i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pravovremeno završili školovanje i osposobili se za zanimanje koje su odabrali. Da bi se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spomenuti ciljevi realizirali nužno je zalaganje djelatnika doma s ciljem da se učenicima</w:t>
            </w:r>
          </w:p>
          <w:p w:rsid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osiguraju što povoljniji životni, radni i pedagoški uvjet za ostvarenje te zadaće.</w:t>
            </w:r>
          </w:p>
          <w:p w:rsidR="00127DC9" w:rsidRDefault="00127DC9" w:rsidP="00CE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Opći cilj odgoja određuje odgojne zadaće koje vrijede za sve učenike domova, a one su sljedeće: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-čuvanje i unapređivanje zdravlja (fizički razvoj, higijena, kultura življenja, zdravstveno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prosvjećivanje učenika...)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-socijalizacija i emocionalni razvoj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-kognitivni razvoj ( vezano za učenje)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-obogaćivanje života učenika (u domu i izvan njega)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-unapređivanje života u domu (ozračje i druženje, posebni interesi, društveno i političko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okružje, razvijanje i njegovanje nacionalnog i vjerskog identiteta)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-suradnja (komunikacija u domu, sa suradnicima i institucijama izvan doma, s okružjem što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uključuje informiranost i povezanost)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-program kulture življenja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-program adaptacije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-kreativan razvoj i posebne potrebe učenika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Odgojno obrazovni rad u domu mora omogućiti pravilno psihofizičko sazrijevanje mladih ljudi,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što obuhvaća psihofizičko zdravlje, razvijanje intelektualnih sposobnosti i usvajanje novih</w:t>
            </w:r>
          </w:p>
          <w:p w:rsidR="00127DC9" w:rsidRP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znanja, kulture ponašanja i ophođenja, estetske vrijednosti, moralne norme, humanost,</w:t>
            </w:r>
          </w:p>
          <w:p w:rsidR="00127DC9" w:rsidRDefault="00127DC9" w:rsidP="0012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C9">
              <w:rPr>
                <w:rFonts w:ascii="Times New Roman" w:hAnsi="Times New Roman"/>
                <w:sz w:val="20"/>
                <w:szCs w:val="20"/>
              </w:rPr>
              <w:t>pozitivnih odnosa prema prirodi i okolini...</w:t>
            </w:r>
          </w:p>
          <w:p w:rsidR="00B5060F" w:rsidRDefault="00B5060F" w:rsidP="00DB0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060F" w:rsidRDefault="00B5060F" w:rsidP="00DB0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Cilj odlaska na ekskurzije je tematski zavisno od obrazovnog programa koji učenici pohađaju.</w:t>
            </w:r>
          </w:p>
          <w:p w:rsidR="00B5060F" w:rsidRPr="008E4578" w:rsidRDefault="00B5060F" w:rsidP="00DB0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7F8" w:rsidRPr="004F6E37" w:rsidTr="0097418F">
        <w:trPr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3B4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3B4" w:rsidRPr="008E4578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Pedagoškim standardima utvrđuju se osnovni uvjeti i mjerila ostvarivanja odgojno-obrazovnih planova i programa u domovima, a isti treba pridonijeti:</w:t>
            </w:r>
          </w:p>
          <w:p w:rsidR="00DE43B4" w:rsidRPr="008E4578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-uspješnijem ostvarivanju ciljeva i zadaća odgojno-obrazovnih planova i programa</w:t>
            </w:r>
          </w:p>
          <w:p w:rsidR="00DE43B4" w:rsidRPr="008E4578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-podizanje kvalitete i učinkovitosti odgoja, obrazovanja i kulture življenja</w:t>
            </w:r>
          </w:p>
          <w:p w:rsidR="00DE43B4" w:rsidRPr="008E4578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-jačanju odgojne uloge Škole i Učeničkog doma, njihove kulturne i društvene djelatnosti</w:t>
            </w:r>
          </w:p>
          <w:p w:rsidR="00DE43B4" w:rsidRPr="008E4578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 xml:space="preserve">-optimalnom ustroju odgojno-obrazovnog procesa i slobodnog vremena </w:t>
            </w:r>
          </w:p>
          <w:p w:rsidR="00DE43B4" w:rsidRPr="008E4578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-djelotvornijem uvođenju suvremene nastavne tehnike i tehnologije u odgojno-obrazovnom radu, te stvaranju povoljnih uvjeta za slobodno stvaralaštvo učenika</w:t>
            </w:r>
          </w:p>
          <w:p w:rsidR="00DE43B4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-privatnoj inicijativi i širenju učeničke slobode u odabiru odgojno-obrazovnog programa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43B4" w:rsidRDefault="00DE43B4" w:rsidP="00DE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7F8" w:rsidRPr="008E4578" w:rsidRDefault="007E37F8" w:rsidP="00127DC9">
            <w:pPr>
              <w:shd w:val="clear" w:color="auto" w:fill="FFFFFF"/>
              <w:suppressAutoHyphens/>
              <w:spacing w:after="0" w:line="100" w:lineRule="atLeast"/>
              <w:ind w:right="2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E37F8" w:rsidRPr="004F6E37" w:rsidTr="0097418F">
        <w:trPr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Default="008A36CF" w:rsidP="008A36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78">
              <w:rPr>
                <w:rFonts w:ascii="Times New Roman" w:hAnsi="Times New Roman"/>
                <w:sz w:val="20"/>
                <w:szCs w:val="20"/>
              </w:rPr>
              <w:t>Rješenjem Ministarstva znanosti, obrazovanja i športa KLASA:UP/1-602-03/10-05/00064, URBROJ:533-09-10-0004 od 27. kolovoza 2010. godine Učeničkom domu je odobren početak rada i obavljanje djelatnosti</w:t>
            </w:r>
            <w:r w:rsidR="00563444" w:rsidRPr="008E4578">
              <w:rPr>
                <w:rFonts w:ascii="Times New Roman" w:hAnsi="Times New Roman"/>
                <w:sz w:val="20"/>
                <w:szCs w:val="20"/>
              </w:rPr>
              <w:t xml:space="preserve"> smještaja i prehrane učenika. </w:t>
            </w:r>
          </w:p>
          <w:p w:rsidR="00E0031C" w:rsidRPr="008E4578" w:rsidRDefault="00E0031C" w:rsidP="00E003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Zakonska osnova za provođenje ekskurzija je Kurikulum Škole u kojem postoji plan i program istih.</w:t>
            </w:r>
          </w:p>
        </w:tc>
      </w:tr>
      <w:tr w:rsidR="007E37F8" w:rsidRPr="004F6E37" w:rsidTr="0097418F">
        <w:trPr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235" w:rsidRPr="008E4578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65235" w:rsidRDefault="00A65235" w:rsidP="0060709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 Učeničkom domu </w:t>
            </w:r>
            <w:r w:rsidR="00607097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bilo je </w:t>
            </w:r>
            <w:r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>zaposleno 6 zaposlenika.</w:t>
            </w:r>
            <w:r w:rsidR="00EE3BAC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607097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početku školske 2021./2022. godine u Učenički dom je upisano 24 </w:t>
            </w:r>
            <w:r w:rsidR="00EE3BAC"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>učenika.</w:t>
            </w:r>
          </w:p>
          <w:p w:rsidR="00E0031C" w:rsidRDefault="00E0031C" w:rsidP="0060709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0031C" w:rsidRPr="008E4578" w:rsidRDefault="00E0031C" w:rsidP="0060709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E37F8" w:rsidRPr="004F6E37" w:rsidTr="005F35C1">
        <w:trPr>
          <w:trHeight w:val="55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1559"/>
              <w:gridCol w:w="1559"/>
              <w:gridCol w:w="1598"/>
            </w:tblGrid>
            <w:tr w:rsidR="00406D37" w:rsidRPr="004F6E37" w:rsidTr="00A30CE4">
              <w:tc>
                <w:tcPr>
                  <w:tcW w:w="2496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4F6E37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550B8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4F6E37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550B8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7E37F8" w:rsidRPr="004F6E37" w:rsidRDefault="004F6E37" w:rsidP="009550B8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550B8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406D37" w:rsidRPr="004F6E37" w:rsidTr="00A30CE4">
              <w:tc>
                <w:tcPr>
                  <w:tcW w:w="2496" w:type="dxa"/>
                  <w:shd w:val="clear" w:color="auto" w:fill="auto"/>
                </w:tcPr>
                <w:p w:rsidR="007E37F8" w:rsidRPr="004F6E37" w:rsidRDefault="007E37F8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 xml:space="preserve">Proračun </w:t>
                  </w:r>
                  <w:r w:rsidR="00796467" w:rsidRPr="004F6E37">
                    <w:rPr>
                      <w:rFonts w:ascii="Times New Roman" w:hAnsi="Times New Roman"/>
                      <w:lang w:eastAsia="ar-SA"/>
                    </w:rPr>
                    <w:t>LSŽ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9550B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20.067,69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9550B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20.067,69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7E37F8" w:rsidRPr="004F6E37" w:rsidRDefault="009550B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20.067,69</w:t>
                  </w:r>
                </w:p>
              </w:tc>
            </w:tr>
            <w:tr w:rsidR="00406D37" w:rsidRPr="004F6E37" w:rsidTr="00A30CE4">
              <w:tc>
                <w:tcPr>
                  <w:tcW w:w="2496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A30CE4">
              <w:tc>
                <w:tcPr>
                  <w:tcW w:w="2496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A30CE4">
              <w:tc>
                <w:tcPr>
                  <w:tcW w:w="2496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A30CE4">
              <w:tc>
                <w:tcPr>
                  <w:tcW w:w="2496" w:type="dxa"/>
                  <w:shd w:val="clear" w:color="auto" w:fill="auto"/>
                </w:tcPr>
                <w:p w:rsidR="007E37F8" w:rsidRPr="004F6E37" w:rsidRDefault="008D4576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po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poseb.prop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F03161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29.544,09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F03161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29.544,09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7E37F8" w:rsidRPr="004F6E37" w:rsidRDefault="00F03161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29.544,09</w:t>
                  </w:r>
                </w:p>
              </w:tc>
            </w:tr>
            <w:tr w:rsidR="00406D37" w:rsidRPr="004F6E37" w:rsidTr="00A30CE4">
              <w:tc>
                <w:tcPr>
                  <w:tcW w:w="2496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lastRenderedPageBreak/>
                    <w:t>(navesti izvor financiranja)*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7E37F8" w:rsidRPr="004F6E37" w:rsidRDefault="007E37F8" w:rsidP="00116AB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E95380" w:rsidRPr="004F6E37" w:rsidTr="00A30CE4">
              <w:tc>
                <w:tcPr>
                  <w:tcW w:w="2496" w:type="dxa"/>
                  <w:shd w:val="clear" w:color="auto" w:fill="auto"/>
                </w:tcPr>
                <w:p w:rsidR="00E95380" w:rsidRPr="004F6E37" w:rsidRDefault="00E95380" w:rsidP="00E9538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5380" w:rsidRPr="004F6E37" w:rsidRDefault="00E95380" w:rsidP="00E9538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49.611,78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95380" w:rsidRPr="004F6E37" w:rsidRDefault="00E95380" w:rsidP="00E9538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49.611,78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E95380" w:rsidRPr="004F6E37" w:rsidRDefault="00E95380" w:rsidP="00E9538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49.611,78</w:t>
                  </w:r>
                </w:p>
              </w:tc>
            </w:tr>
          </w:tbl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97418F">
        <w:trPr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558" w:rsidRDefault="00AC6558" w:rsidP="00037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Uz osiguravanje smještaja i prehrane učenika u mjestu školovanja, a izvan roditeljskog doma,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istima se osigurava i program podrške u djelu svladavanja odgojno-obrazovnog programa škola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koje pohađaju, kao i podrška i uvjeti za sveukupni razvoj učenika te dobi, te kvaliteta življenja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 učeničkom domu. Učenicima 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se pomaže u organizaciji i provođenju cjelokupnog života, te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im</w:t>
            </w:r>
          </w:p>
          <w:p w:rsid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se pružaju i mogućnosti slobo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dnog odabira izbornih programa.</w:t>
            </w:r>
          </w:p>
          <w:p w:rsid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O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dgajatelj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 učenicima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provode različite oblike rada temeljem odgojno-obrazovnog plana i programa i to: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-individualni rad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-rad u odgojnoj skupini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-rad u malim skupinama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-među-skupni rad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-rad u neformalnim skupinama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-rad u sekcijama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Odgojno-obrazovni proces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 realizira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kroz rad 1 odgojne skupine i više sekcija izbornih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programa. U spomenutim organizacijsk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im oblicima učenici neposredno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izražava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ju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svoje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stavove, interese i potrebe.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Svi oblici rada s učenicima 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 u funkciji odgoja i obrazovanja, pri čemu se uzimaju u obzir specifičnost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 dobi učenika i</w:t>
            </w:r>
            <w:r w:rsidR="002A2F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njihove želje, interesi, sklonosti i potrebe.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Odgojna funkcija svakodnevnih životnih situacija bezuvjetno stavlja u prvi plan sadržaje koji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 unaprijed pripremljeni sa svim kvalitetama organiziranosti i aktivnosti učenika, odgajatelja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 ostalih djelatnika. Osnovne pretpostavke za planiranje odgojno-obrazovnih sadržaja, načina i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metoda je dobro poznavanje učenika, poznavanje i uvažavanje karakteristika adolescentske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dobi, njihovih potreba, sklonosti i sposobnosti. Poznavanje svakog učenika ponaosob, praćenje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 prepoznavanje promjena u njegovu razvoju i ponašanju (budući da veći dio njih boravi u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Domu i po nekoliko godina za cijelo vrijeme školovanja) nužno je da odgajatelji uvažavaju</w:t>
            </w:r>
          </w:p>
          <w:p w:rsidR="00AC6558" w:rsidRPr="00AC6558" w:rsidRDefault="00AC6558" w:rsidP="00AC6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individualnost pojedinca i unose u svoj program rada. Da bi to bilo uspješno nužna je stalna,</w:t>
            </w:r>
          </w:p>
          <w:p w:rsidR="000374AF" w:rsidRPr="002A2FD7" w:rsidRDefault="00AC6558" w:rsidP="00037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C6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zdrava i kvalitetna komunikacija.</w:t>
            </w:r>
            <w:r w:rsidR="000374AF" w:rsidRPr="000374A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2A2FD7" w:rsidRDefault="002A2FD7" w:rsidP="002A2FD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 prethodnoj školskoj godini u </w:t>
            </w:r>
            <w:r w:rsidRPr="008E45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Učenički dom je upisano 24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učenika dok je u godini prije bilo upisno 16 učenika.</w:t>
            </w:r>
          </w:p>
          <w:p w:rsidR="00E0031C" w:rsidRDefault="00E0031C" w:rsidP="00037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E0031C" w:rsidRPr="00E0031C" w:rsidRDefault="00E0031C" w:rsidP="00037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03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Učenici su bili na stručnoj ekskurziji koja im je na praktičnim primjerima približila pravila struke. </w:t>
            </w:r>
          </w:p>
          <w:p w:rsidR="007E37F8" w:rsidRPr="000374AF" w:rsidRDefault="007E37F8" w:rsidP="000374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D44B2" w:rsidRPr="004F6E37" w:rsidTr="0097418F">
        <w:trPr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4B2" w:rsidRPr="00E0031C" w:rsidRDefault="003D44B2" w:rsidP="002A2FD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003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RAZLOG ODSTUPANJA OD PROŠLOGODIŠNJIH PROJEKCIJA ZA 202</w:t>
            </w:r>
            <w:r w:rsidR="002A2FD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  <w:r w:rsidRPr="00E003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I 202</w:t>
            </w:r>
            <w:r w:rsidR="002A2FD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  <w:r w:rsidRPr="00E0031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GODINU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866" w:rsidRDefault="008A7866" w:rsidP="002A2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2FD7" w:rsidRPr="00E0031C" w:rsidRDefault="002A2FD7" w:rsidP="002A2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za 2023. godinu i projekcije za 2024. godinu je veći od projekcija prethodne godine iz razloga što je više upisanih učenika u učenički dom a veći su i ostali prihodi po posebnim propisima zbog manjih rashoda prethodnih godina na rashodima za maturalna putovanja i rashodima za prijevoz učenika na stručne ekskurzije jer istih nije bilo zbog pandemije CORONA virusa.</w:t>
            </w:r>
          </w:p>
          <w:p w:rsidR="003D44B2" w:rsidRPr="00E0031C" w:rsidRDefault="003D44B2" w:rsidP="003D44B2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3D44B2" w:rsidRPr="004F6E37" w:rsidTr="0097418F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3D44B2" w:rsidRPr="004F6E37" w:rsidRDefault="003D44B2" w:rsidP="003D44B2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3D44B2" w:rsidRPr="004F6E37" w:rsidRDefault="003D44B2" w:rsidP="003D44B2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3D44B2" w:rsidRPr="004F6E37" w:rsidTr="0097418F">
        <w:trPr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3D44B2" w:rsidRPr="004F6E37" w:rsidRDefault="003D44B2" w:rsidP="003D44B2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3D44B2" w:rsidRPr="004F6E37" w:rsidRDefault="003D44B2" w:rsidP="003D44B2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D44B2" w:rsidRPr="004F6E37" w:rsidTr="0097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4B2" w:rsidRPr="004F6E37" w:rsidRDefault="003D44B2" w:rsidP="003D44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UKUPNO TRAŽENI IZNOS SREDSTVA IZ PRORAČUNA LIČKO-SENJSKE  ŽUPANIJE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3D44B2" w:rsidRPr="004F6E37" w:rsidTr="00406D37">
              <w:tc>
                <w:tcPr>
                  <w:tcW w:w="2330" w:type="dxa"/>
                  <w:shd w:val="clear" w:color="auto" w:fill="auto"/>
                </w:tcPr>
                <w:p w:rsidR="003D44B2" w:rsidRPr="004F6E37" w:rsidRDefault="003D44B2" w:rsidP="003D44B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3D44B2" w:rsidRPr="004F6E37" w:rsidRDefault="003D44B2" w:rsidP="00E9538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E95380">
                    <w:rPr>
                      <w:rFonts w:ascii="Times New Roman" w:hAnsi="Times New Roman"/>
                      <w:b/>
                    </w:rPr>
                    <w:t>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D44B2" w:rsidRPr="004F6E37" w:rsidRDefault="003D44B2" w:rsidP="00E9538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E95380">
                    <w:rPr>
                      <w:rFonts w:ascii="Times New Roman" w:hAnsi="Times New Roman"/>
                      <w:b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4B2" w:rsidRPr="004F6E37" w:rsidRDefault="003D44B2" w:rsidP="00E9538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E95380">
                    <w:rPr>
                      <w:rFonts w:ascii="Times New Roman" w:hAnsi="Times New Roman"/>
                      <w:b/>
                    </w:rPr>
                    <w:t>5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3D44B2" w:rsidRPr="004F6E37" w:rsidTr="00406D37">
              <w:tc>
                <w:tcPr>
                  <w:tcW w:w="2330" w:type="dxa"/>
                  <w:shd w:val="clear" w:color="auto" w:fill="auto"/>
                </w:tcPr>
                <w:p w:rsidR="003D44B2" w:rsidRPr="004F6E37" w:rsidRDefault="003D44B2" w:rsidP="003D44B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3D44B2" w:rsidRPr="004E515A" w:rsidRDefault="008A7866" w:rsidP="008A786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300.338,44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D44B2" w:rsidRPr="004E515A" w:rsidRDefault="008A7866" w:rsidP="008A786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300.338,44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4B2" w:rsidRPr="004E515A" w:rsidRDefault="008A7866" w:rsidP="008A786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300.338,44</w:t>
                  </w:r>
                </w:p>
              </w:tc>
            </w:tr>
            <w:tr w:rsidR="003D44B2" w:rsidRPr="004F6E37" w:rsidTr="00406D37">
              <w:tc>
                <w:tcPr>
                  <w:tcW w:w="2330" w:type="dxa"/>
                  <w:shd w:val="clear" w:color="auto" w:fill="auto"/>
                </w:tcPr>
                <w:p w:rsidR="003D44B2" w:rsidRPr="004F6E37" w:rsidRDefault="003D44B2" w:rsidP="003D44B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2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3D44B2" w:rsidRPr="004F6E37" w:rsidRDefault="003D44B2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D44B2" w:rsidRPr="004F6E37" w:rsidRDefault="003D44B2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3D44B2" w:rsidRPr="004F6E37" w:rsidRDefault="003D44B2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D44B2" w:rsidRPr="004F6E37" w:rsidTr="00406D37">
              <w:tc>
                <w:tcPr>
                  <w:tcW w:w="2330" w:type="dxa"/>
                  <w:shd w:val="clear" w:color="auto" w:fill="auto"/>
                </w:tcPr>
                <w:p w:rsidR="003D44B2" w:rsidRPr="004F6E37" w:rsidRDefault="003D44B2" w:rsidP="003D44B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3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2A2FD7" w:rsidRPr="004F6E37" w:rsidRDefault="002A2FD7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20.067,69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D44B2" w:rsidRPr="004F6E37" w:rsidRDefault="002A2FD7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20.067,69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4B2" w:rsidRPr="004F6E37" w:rsidRDefault="002A2FD7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20.067,69</w:t>
                  </w:r>
                </w:p>
              </w:tc>
            </w:tr>
            <w:tr w:rsidR="003D44B2" w:rsidRPr="004F6E37" w:rsidTr="00406D37">
              <w:tc>
                <w:tcPr>
                  <w:tcW w:w="2330" w:type="dxa"/>
                  <w:shd w:val="clear" w:color="auto" w:fill="auto"/>
                </w:tcPr>
                <w:p w:rsidR="003D44B2" w:rsidRPr="004F6E37" w:rsidRDefault="003D44B2" w:rsidP="003D44B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3D44B2" w:rsidRPr="004F6E37" w:rsidRDefault="008A7866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320.406,13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D44B2" w:rsidRPr="004F6E37" w:rsidRDefault="008A7866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320.406,13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3D44B2" w:rsidRPr="004F6E37" w:rsidRDefault="008A7866" w:rsidP="008A786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320.406,13</w:t>
                  </w:r>
                </w:p>
              </w:tc>
            </w:tr>
          </w:tbl>
          <w:p w:rsidR="003D44B2" w:rsidRPr="004F6E37" w:rsidRDefault="003D44B2" w:rsidP="003D44B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5F35C1" w:rsidRDefault="005F35C1" w:rsidP="0062661D">
      <w:pPr>
        <w:ind w:left="-709"/>
        <w:rPr>
          <w:rFonts w:ascii="Times New Roman" w:hAnsi="Times New Roman"/>
          <w:b/>
        </w:rPr>
      </w:pPr>
    </w:p>
    <w:p w:rsidR="005F35C1" w:rsidRDefault="005F35C1" w:rsidP="0062661D">
      <w:pPr>
        <w:ind w:left="-709"/>
        <w:rPr>
          <w:rFonts w:ascii="Times New Roman" w:hAnsi="Times New Roman"/>
          <w:b/>
        </w:rPr>
      </w:pPr>
    </w:p>
    <w:p w:rsidR="005F35C1" w:rsidRDefault="005F35C1" w:rsidP="0062661D">
      <w:pPr>
        <w:ind w:left="-709"/>
        <w:rPr>
          <w:rFonts w:ascii="Times New Roman" w:hAnsi="Times New Roman"/>
          <w:b/>
        </w:rPr>
      </w:pPr>
    </w:p>
    <w:p w:rsidR="005F35C1" w:rsidRDefault="005F35C1" w:rsidP="0062661D">
      <w:pPr>
        <w:ind w:left="-709"/>
        <w:rPr>
          <w:rFonts w:ascii="Times New Roman" w:hAnsi="Times New Roman"/>
          <w:b/>
        </w:rPr>
      </w:pPr>
    </w:p>
    <w:p w:rsidR="005F35C1" w:rsidRDefault="005F35C1" w:rsidP="0062661D">
      <w:pPr>
        <w:ind w:left="-709"/>
        <w:rPr>
          <w:rFonts w:ascii="Times New Roman" w:hAnsi="Times New Roman"/>
          <w:b/>
        </w:rPr>
      </w:pPr>
    </w:p>
    <w:p w:rsidR="0062661D" w:rsidRPr="004F6E37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>Ime i prezime odgovorne osobe:</w:t>
      </w:r>
      <w:r w:rsidR="00FA4C98">
        <w:rPr>
          <w:rFonts w:ascii="Times New Roman" w:hAnsi="Times New Roman"/>
          <w:b/>
        </w:rPr>
        <w:t xml:space="preserve"> Adela Rukavina, </w:t>
      </w:r>
      <w:proofErr w:type="spellStart"/>
      <w:r w:rsidR="00FA4C98">
        <w:rPr>
          <w:rFonts w:ascii="Times New Roman" w:hAnsi="Times New Roman"/>
          <w:b/>
        </w:rPr>
        <w:t>prof</w:t>
      </w:r>
      <w:proofErr w:type="spellEnd"/>
      <w:r w:rsidR="00FA4C98">
        <w:rPr>
          <w:rFonts w:ascii="Times New Roman" w:hAnsi="Times New Roman"/>
          <w:b/>
        </w:rPr>
        <w:t xml:space="preserve">            </w:t>
      </w:r>
      <w:r w:rsidRPr="004F6E37">
        <w:rPr>
          <w:rFonts w:ascii="Times New Roman" w:hAnsi="Times New Roman"/>
          <w:b/>
        </w:rPr>
        <w:t xml:space="preserve">                        Potpis: __________________</w:t>
      </w:r>
    </w:p>
    <w:p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092B13">
        <w:rPr>
          <w:rFonts w:ascii="Times New Roman" w:hAnsi="Times New Roman"/>
          <w:b/>
        </w:rPr>
        <w:t>Otočcu</w:t>
      </w:r>
      <w:r w:rsidR="00E95380">
        <w:rPr>
          <w:rFonts w:ascii="Times New Roman" w:hAnsi="Times New Roman"/>
          <w:b/>
        </w:rPr>
        <w:t xml:space="preserve">, </w:t>
      </w:r>
      <w:r w:rsidR="003E1120">
        <w:rPr>
          <w:rFonts w:ascii="Times New Roman" w:hAnsi="Times New Roman"/>
          <w:b/>
        </w:rPr>
        <w:t xml:space="preserve"> </w:t>
      </w:r>
      <w:r w:rsidR="005F35C1">
        <w:rPr>
          <w:rFonts w:ascii="Times New Roman" w:hAnsi="Times New Roman"/>
          <w:b/>
        </w:rPr>
        <w:t>07</w:t>
      </w:r>
      <w:r w:rsidR="006E44A1">
        <w:rPr>
          <w:rFonts w:ascii="Times New Roman" w:hAnsi="Times New Roman"/>
          <w:b/>
        </w:rPr>
        <w:t>.</w:t>
      </w:r>
      <w:r w:rsidR="003E1120">
        <w:rPr>
          <w:rFonts w:ascii="Times New Roman" w:hAnsi="Times New Roman"/>
          <w:b/>
        </w:rPr>
        <w:t xml:space="preserve"> </w:t>
      </w:r>
      <w:r w:rsidR="005F35C1">
        <w:rPr>
          <w:rFonts w:ascii="Times New Roman" w:hAnsi="Times New Roman"/>
          <w:b/>
        </w:rPr>
        <w:t xml:space="preserve">studenog </w:t>
      </w:r>
      <w:r w:rsidRPr="004F6E37">
        <w:rPr>
          <w:rFonts w:ascii="Times New Roman" w:hAnsi="Times New Roman"/>
          <w:b/>
        </w:rPr>
        <w:t>20</w:t>
      </w:r>
      <w:r w:rsidR="008E4578">
        <w:rPr>
          <w:rFonts w:ascii="Times New Roman" w:hAnsi="Times New Roman"/>
          <w:b/>
        </w:rPr>
        <w:t>2</w:t>
      </w:r>
      <w:r w:rsidR="00E95380">
        <w:rPr>
          <w:rFonts w:ascii="Times New Roman" w:hAnsi="Times New Roman"/>
          <w:b/>
        </w:rPr>
        <w:t>2</w:t>
      </w:r>
      <w:r w:rsidR="001A7004" w:rsidRPr="004F6E37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g.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7E37F8" w:rsidRPr="008E4578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4F6E37">
        <w:rPr>
          <w:rFonts w:ascii="Times New Roman" w:hAnsi="Times New Roman"/>
          <w:b/>
        </w:rPr>
        <w:t>*</w:t>
      </w:r>
      <w:r w:rsidRPr="008E4578">
        <w:rPr>
          <w:rFonts w:ascii="Times New Roman" w:hAnsi="Times New Roman"/>
          <w:b/>
          <w:sz w:val="20"/>
          <w:szCs w:val="20"/>
        </w:rPr>
        <w:t xml:space="preserve">Napomena:  </w:t>
      </w:r>
      <w:r w:rsidRPr="008E4578">
        <w:rPr>
          <w:rFonts w:ascii="Times New Roman" w:hAnsi="Times New Roman"/>
          <w:sz w:val="20"/>
          <w:szCs w:val="20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8E4578">
        <w:rPr>
          <w:rFonts w:ascii="Times New Roman" w:hAnsi="Times New Roman"/>
          <w:sz w:val="20"/>
          <w:szCs w:val="20"/>
        </w:rPr>
        <w:t>Ličko-senjske</w:t>
      </w:r>
      <w:r w:rsidRPr="008E4578">
        <w:rPr>
          <w:rFonts w:ascii="Times New Roman" w:hAnsi="Times New Roman"/>
          <w:sz w:val="20"/>
          <w:szCs w:val="20"/>
        </w:rPr>
        <w:t xml:space="preserve"> županije. </w:t>
      </w:r>
    </w:p>
    <w:p w:rsidR="007E37F8" w:rsidRPr="008E4578" w:rsidRDefault="007E37F8" w:rsidP="007E37F8">
      <w:pPr>
        <w:spacing w:after="0"/>
        <w:ind w:left="-709"/>
        <w:jc w:val="both"/>
        <w:rPr>
          <w:rFonts w:ascii="Times New Roman" w:hAnsi="Times New Roman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F6E37" w:rsidRDefault="006939A7" w:rsidP="00807F73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</w:t>
            </w:r>
            <w:r w:rsidR="008E4578">
              <w:rPr>
                <w:rFonts w:ascii="Times New Roman" w:hAnsi="Times New Roman"/>
                <w:b/>
              </w:rPr>
              <w:t>2</w:t>
            </w:r>
            <w:r w:rsidR="00807F73">
              <w:rPr>
                <w:rFonts w:ascii="Times New Roman" w:hAnsi="Times New Roman"/>
                <w:b/>
              </w:rPr>
              <w:t>2</w:t>
            </w:r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1ABE1B1D"/>
    <w:multiLevelType w:val="hybridMultilevel"/>
    <w:tmpl w:val="BAC46924"/>
    <w:lvl w:ilvl="0" w:tplc="4044C11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5CF1"/>
    <w:multiLevelType w:val="hybridMultilevel"/>
    <w:tmpl w:val="A440D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0248A3"/>
    <w:multiLevelType w:val="hybridMultilevel"/>
    <w:tmpl w:val="0BEE2EF6"/>
    <w:lvl w:ilvl="0" w:tplc="C9C2A582">
      <w:start w:val="1"/>
      <w:numFmt w:val="lowerLetter"/>
      <w:lvlText w:val="%1)"/>
      <w:lvlJc w:val="left"/>
      <w:pPr>
        <w:ind w:left="530" w:hanging="360"/>
      </w:pPr>
    </w:lvl>
    <w:lvl w:ilvl="1" w:tplc="041A0019">
      <w:start w:val="1"/>
      <w:numFmt w:val="lowerLetter"/>
      <w:lvlText w:val="%2."/>
      <w:lvlJc w:val="left"/>
      <w:pPr>
        <w:ind w:left="1250" w:hanging="360"/>
      </w:pPr>
    </w:lvl>
    <w:lvl w:ilvl="2" w:tplc="041A001B">
      <w:start w:val="1"/>
      <w:numFmt w:val="lowerRoman"/>
      <w:lvlText w:val="%3."/>
      <w:lvlJc w:val="right"/>
      <w:pPr>
        <w:ind w:left="1970" w:hanging="180"/>
      </w:pPr>
    </w:lvl>
    <w:lvl w:ilvl="3" w:tplc="041A000F">
      <w:start w:val="1"/>
      <w:numFmt w:val="decimal"/>
      <w:lvlText w:val="%4."/>
      <w:lvlJc w:val="left"/>
      <w:pPr>
        <w:ind w:left="2690" w:hanging="360"/>
      </w:pPr>
    </w:lvl>
    <w:lvl w:ilvl="4" w:tplc="041A0019">
      <w:start w:val="1"/>
      <w:numFmt w:val="lowerLetter"/>
      <w:lvlText w:val="%5."/>
      <w:lvlJc w:val="left"/>
      <w:pPr>
        <w:ind w:left="3410" w:hanging="360"/>
      </w:pPr>
    </w:lvl>
    <w:lvl w:ilvl="5" w:tplc="041A001B">
      <w:start w:val="1"/>
      <w:numFmt w:val="lowerRoman"/>
      <w:lvlText w:val="%6."/>
      <w:lvlJc w:val="right"/>
      <w:pPr>
        <w:ind w:left="4130" w:hanging="180"/>
      </w:pPr>
    </w:lvl>
    <w:lvl w:ilvl="6" w:tplc="041A000F">
      <w:start w:val="1"/>
      <w:numFmt w:val="decimal"/>
      <w:lvlText w:val="%7."/>
      <w:lvlJc w:val="left"/>
      <w:pPr>
        <w:ind w:left="4850" w:hanging="360"/>
      </w:pPr>
    </w:lvl>
    <w:lvl w:ilvl="7" w:tplc="041A0019">
      <w:start w:val="1"/>
      <w:numFmt w:val="lowerLetter"/>
      <w:lvlText w:val="%8."/>
      <w:lvlJc w:val="left"/>
      <w:pPr>
        <w:ind w:left="5570" w:hanging="360"/>
      </w:pPr>
    </w:lvl>
    <w:lvl w:ilvl="8" w:tplc="041A001B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766960A4"/>
    <w:multiLevelType w:val="hybridMultilevel"/>
    <w:tmpl w:val="F1804DFC"/>
    <w:lvl w:ilvl="0" w:tplc="97F4E5F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7CF762C6"/>
    <w:multiLevelType w:val="multilevel"/>
    <w:tmpl w:val="0E008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E43A2B"/>
    <w:multiLevelType w:val="hybridMultilevel"/>
    <w:tmpl w:val="A40279D2"/>
    <w:lvl w:ilvl="0" w:tplc="B75840A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A"/>
    <w:rsid w:val="00003F39"/>
    <w:rsid w:val="0000637D"/>
    <w:rsid w:val="00021BFC"/>
    <w:rsid w:val="000374AF"/>
    <w:rsid w:val="0004052E"/>
    <w:rsid w:val="00040DF9"/>
    <w:rsid w:val="00042539"/>
    <w:rsid w:val="0005463A"/>
    <w:rsid w:val="000668F9"/>
    <w:rsid w:val="00067FE1"/>
    <w:rsid w:val="000735F7"/>
    <w:rsid w:val="0007477B"/>
    <w:rsid w:val="000772FF"/>
    <w:rsid w:val="00085AE4"/>
    <w:rsid w:val="00092B13"/>
    <w:rsid w:val="000953A1"/>
    <w:rsid w:val="000A20FB"/>
    <w:rsid w:val="000B2409"/>
    <w:rsid w:val="000D0F0B"/>
    <w:rsid w:val="000D40C1"/>
    <w:rsid w:val="00100F92"/>
    <w:rsid w:val="00101C1B"/>
    <w:rsid w:val="00111527"/>
    <w:rsid w:val="00116AB2"/>
    <w:rsid w:val="0012697D"/>
    <w:rsid w:val="00127DC9"/>
    <w:rsid w:val="00130E62"/>
    <w:rsid w:val="00134EAE"/>
    <w:rsid w:val="00146F62"/>
    <w:rsid w:val="00153DBF"/>
    <w:rsid w:val="001546EF"/>
    <w:rsid w:val="001610D8"/>
    <w:rsid w:val="001630D0"/>
    <w:rsid w:val="001743B3"/>
    <w:rsid w:val="00185AD8"/>
    <w:rsid w:val="001A51BD"/>
    <w:rsid w:val="001A7004"/>
    <w:rsid w:val="001B7A8B"/>
    <w:rsid w:val="001C09A3"/>
    <w:rsid w:val="001D3E91"/>
    <w:rsid w:val="001D664A"/>
    <w:rsid w:val="001D7878"/>
    <w:rsid w:val="001E2595"/>
    <w:rsid w:val="001F07BC"/>
    <w:rsid w:val="002137EE"/>
    <w:rsid w:val="0022316E"/>
    <w:rsid w:val="00251BFB"/>
    <w:rsid w:val="00276592"/>
    <w:rsid w:val="00277157"/>
    <w:rsid w:val="00291EFD"/>
    <w:rsid w:val="002941FE"/>
    <w:rsid w:val="00296F41"/>
    <w:rsid w:val="002975BE"/>
    <w:rsid w:val="002A00B5"/>
    <w:rsid w:val="002A2FD7"/>
    <w:rsid w:val="002A5977"/>
    <w:rsid w:val="002A5E51"/>
    <w:rsid w:val="002B348B"/>
    <w:rsid w:val="002B5C15"/>
    <w:rsid w:val="002C23D5"/>
    <w:rsid w:val="002C43DE"/>
    <w:rsid w:val="002E6B79"/>
    <w:rsid w:val="00300B9E"/>
    <w:rsid w:val="0031213B"/>
    <w:rsid w:val="00316345"/>
    <w:rsid w:val="003230B6"/>
    <w:rsid w:val="00325E83"/>
    <w:rsid w:val="00326865"/>
    <w:rsid w:val="00327A34"/>
    <w:rsid w:val="003444A6"/>
    <w:rsid w:val="00355E95"/>
    <w:rsid w:val="00362424"/>
    <w:rsid w:val="00362733"/>
    <w:rsid w:val="00380DC0"/>
    <w:rsid w:val="00381EDD"/>
    <w:rsid w:val="00383595"/>
    <w:rsid w:val="00383E28"/>
    <w:rsid w:val="003A14C0"/>
    <w:rsid w:val="003A2CC3"/>
    <w:rsid w:val="003A4E3A"/>
    <w:rsid w:val="003D44B2"/>
    <w:rsid w:val="003D650C"/>
    <w:rsid w:val="003E1120"/>
    <w:rsid w:val="00400116"/>
    <w:rsid w:val="00405B28"/>
    <w:rsid w:val="00406D37"/>
    <w:rsid w:val="0041614F"/>
    <w:rsid w:val="0045780D"/>
    <w:rsid w:val="00461984"/>
    <w:rsid w:val="00463BDB"/>
    <w:rsid w:val="00492A21"/>
    <w:rsid w:val="004A2C31"/>
    <w:rsid w:val="004A4F62"/>
    <w:rsid w:val="004A6D2A"/>
    <w:rsid w:val="004C47DA"/>
    <w:rsid w:val="004C701B"/>
    <w:rsid w:val="004E515A"/>
    <w:rsid w:val="004E5411"/>
    <w:rsid w:val="004E5B41"/>
    <w:rsid w:val="004F651A"/>
    <w:rsid w:val="004F6C5F"/>
    <w:rsid w:val="004F6E37"/>
    <w:rsid w:val="00502999"/>
    <w:rsid w:val="00502E1D"/>
    <w:rsid w:val="005064F7"/>
    <w:rsid w:val="00514856"/>
    <w:rsid w:val="005150CA"/>
    <w:rsid w:val="00524CD1"/>
    <w:rsid w:val="00535A25"/>
    <w:rsid w:val="00563444"/>
    <w:rsid w:val="005641FB"/>
    <w:rsid w:val="0057081F"/>
    <w:rsid w:val="00584918"/>
    <w:rsid w:val="0059298E"/>
    <w:rsid w:val="00593077"/>
    <w:rsid w:val="00596F46"/>
    <w:rsid w:val="00597553"/>
    <w:rsid w:val="005A0F10"/>
    <w:rsid w:val="005B32CC"/>
    <w:rsid w:val="005B4DAE"/>
    <w:rsid w:val="005C7639"/>
    <w:rsid w:val="005E1329"/>
    <w:rsid w:val="005E538B"/>
    <w:rsid w:val="005F35C1"/>
    <w:rsid w:val="005F3D79"/>
    <w:rsid w:val="00607097"/>
    <w:rsid w:val="00607F7D"/>
    <w:rsid w:val="0062661D"/>
    <w:rsid w:val="00630D96"/>
    <w:rsid w:val="006404A0"/>
    <w:rsid w:val="00642C5B"/>
    <w:rsid w:val="00645165"/>
    <w:rsid w:val="00657D28"/>
    <w:rsid w:val="00664C87"/>
    <w:rsid w:val="00673F70"/>
    <w:rsid w:val="00674719"/>
    <w:rsid w:val="0068108C"/>
    <w:rsid w:val="006939A7"/>
    <w:rsid w:val="00695B12"/>
    <w:rsid w:val="006A38CE"/>
    <w:rsid w:val="006C3FDB"/>
    <w:rsid w:val="006C66A3"/>
    <w:rsid w:val="006D53CD"/>
    <w:rsid w:val="006D598F"/>
    <w:rsid w:val="006E15FD"/>
    <w:rsid w:val="006E44A1"/>
    <w:rsid w:val="006E57B3"/>
    <w:rsid w:val="006E5B71"/>
    <w:rsid w:val="006E6615"/>
    <w:rsid w:val="006E6D90"/>
    <w:rsid w:val="006F394B"/>
    <w:rsid w:val="0071331B"/>
    <w:rsid w:val="0071532D"/>
    <w:rsid w:val="00716FEB"/>
    <w:rsid w:val="00720668"/>
    <w:rsid w:val="00736BCE"/>
    <w:rsid w:val="00742A58"/>
    <w:rsid w:val="0075147E"/>
    <w:rsid w:val="00751E6A"/>
    <w:rsid w:val="00752CBC"/>
    <w:rsid w:val="00762D38"/>
    <w:rsid w:val="007659A1"/>
    <w:rsid w:val="00777CAD"/>
    <w:rsid w:val="007872B2"/>
    <w:rsid w:val="007936BF"/>
    <w:rsid w:val="00795CAD"/>
    <w:rsid w:val="00796467"/>
    <w:rsid w:val="007A0FFC"/>
    <w:rsid w:val="007A3B6B"/>
    <w:rsid w:val="007A7226"/>
    <w:rsid w:val="007A74AF"/>
    <w:rsid w:val="007B370F"/>
    <w:rsid w:val="007B4E2D"/>
    <w:rsid w:val="007B6108"/>
    <w:rsid w:val="007D123D"/>
    <w:rsid w:val="007E37F8"/>
    <w:rsid w:val="007F03DD"/>
    <w:rsid w:val="00802DFC"/>
    <w:rsid w:val="00807F73"/>
    <w:rsid w:val="00813603"/>
    <w:rsid w:val="00825B4D"/>
    <w:rsid w:val="0085188C"/>
    <w:rsid w:val="00853038"/>
    <w:rsid w:val="00857EED"/>
    <w:rsid w:val="00860472"/>
    <w:rsid w:val="00863910"/>
    <w:rsid w:val="0087393F"/>
    <w:rsid w:val="00876AB3"/>
    <w:rsid w:val="008859DF"/>
    <w:rsid w:val="008942FC"/>
    <w:rsid w:val="00895BBB"/>
    <w:rsid w:val="008A36CF"/>
    <w:rsid w:val="008A65D2"/>
    <w:rsid w:val="008A7866"/>
    <w:rsid w:val="008B708F"/>
    <w:rsid w:val="008C037F"/>
    <w:rsid w:val="008D4576"/>
    <w:rsid w:val="008E4578"/>
    <w:rsid w:val="008E61F7"/>
    <w:rsid w:val="008E7B0B"/>
    <w:rsid w:val="008F1C8F"/>
    <w:rsid w:val="009011A8"/>
    <w:rsid w:val="009409C2"/>
    <w:rsid w:val="00940FCC"/>
    <w:rsid w:val="00952A39"/>
    <w:rsid w:val="009550B8"/>
    <w:rsid w:val="0097418F"/>
    <w:rsid w:val="009833FC"/>
    <w:rsid w:val="00983F92"/>
    <w:rsid w:val="009846E7"/>
    <w:rsid w:val="009925BB"/>
    <w:rsid w:val="009A1786"/>
    <w:rsid w:val="009A3181"/>
    <w:rsid w:val="009B0FFE"/>
    <w:rsid w:val="009D2F1C"/>
    <w:rsid w:val="009D4082"/>
    <w:rsid w:val="00A23CF1"/>
    <w:rsid w:val="00A30CE4"/>
    <w:rsid w:val="00A42957"/>
    <w:rsid w:val="00A52197"/>
    <w:rsid w:val="00A5373F"/>
    <w:rsid w:val="00A57E92"/>
    <w:rsid w:val="00A62582"/>
    <w:rsid w:val="00A65235"/>
    <w:rsid w:val="00A66FC3"/>
    <w:rsid w:val="00A7250D"/>
    <w:rsid w:val="00A749C6"/>
    <w:rsid w:val="00A8177E"/>
    <w:rsid w:val="00A852AB"/>
    <w:rsid w:val="00AB153D"/>
    <w:rsid w:val="00AC0B6B"/>
    <w:rsid w:val="00AC6558"/>
    <w:rsid w:val="00AD58FD"/>
    <w:rsid w:val="00AF0767"/>
    <w:rsid w:val="00B01A5E"/>
    <w:rsid w:val="00B02F1A"/>
    <w:rsid w:val="00B04E65"/>
    <w:rsid w:val="00B13811"/>
    <w:rsid w:val="00B24D18"/>
    <w:rsid w:val="00B32ABC"/>
    <w:rsid w:val="00B40981"/>
    <w:rsid w:val="00B5060F"/>
    <w:rsid w:val="00B64AAE"/>
    <w:rsid w:val="00B71ED6"/>
    <w:rsid w:val="00B73F60"/>
    <w:rsid w:val="00B80264"/>
    <w:rsid w:val="00B82EF4"/>
    <w:rsid w:val="00B9515E"/>
    <w:rsid w:val="00B958A5"/>
    <w:rsid w:val="00B96F75"/>
    <w:rsid w:val="00BA5AD8"/>
    <w:rsid w:val="00BB1066"/>
    <w:rsid w:val="00BB1C70"/>
    <w:rsid w:val="00BB2D01"/>
    <w:rsid w:val="00BB59E8"/>
    <w:rsid w:val="00BC70A2"/>
    <w:rsid w:val="00BC7C49"/>
    <w:rsid w:val="00BD4B39"/>
    <w:rsid w:val="00BE3A6B"/>
    <w:rsid w:val="00BF4120"/>
    <w:rsid w:val="00C057C1"/>
    <w:rsid w:val="00C07886"/>
    <w:rsid w:val="00C10B89"/>
    <w:rsid w:val="00C15638"/>
    <w:rsid w:val="00C16638"/>
    <w:rsid w:val="00C24384"/>
    <w:rsid w:val="00C42901"/>
    <w:rsid w:val="00C43306"/>
    <w:rsid w:val="00C44EBB"/>
    <w:rsid w:val="00C45BA7"/>
    <w:rsid w:val="00C479D4"/>
    <w:rsid w:val="00C50BB1"/>
    <w:rsid w:val="00C54A10"/>
    <w:rsid w:val="00C65696"/>
    <w:rsid w:val="00C84E23"/>
    <w:rsid w:val="00C857F8"/>
    <w:rsid w:val="00C92784"/>
    <w:rsid w:val="00CA4F8A"/>
    <w:rsid w:val="00CA5712"/>
    <w:rsid w:val="00CC4BEB"/>
    <w:rsid w:val="00CD08DE"/>
    <w:rsid w:val="00CE4172"/>
    <w:rsid w:val="00CE48CE"/>
    <w:rsid w:val="00CE4B5D"/>
    <w:rsid w:val="00D22F59"/>
    <w:rsid w:val="00D36B2E"/>
    <w:rsid w:val="00D41518"/>
    <w:rsid w:val="00D740D9"/>
    <w:rsid w:val="00D83600"/>
    <w:rsid w:val="00D96257"/>
    <w:rsid w:val="00DB09CA"/>
    <w:rsid w:val="00DB6363"/>
    <w:rsid w:val="00DC276B"/>
    <w:rsid w:val="00DE43B4"/>
    <w:rsid w:val="00DE5160"/>
    <w:rsid w:val="00E0031C"/>
    <w:rsid w:val="00E238CF"/>
    <w:rsid w:val="00E32205"/>
    <w:rsid w:val="00E36A8F"/>
    <w:rsid w:val="00E373BA"/>
    <w:rsid w:val="00E66367"/>
    <w:rsid w:val="00E66F45"/>
    <w:rsid w:val="00E70695"/>
    <w:rsid w:val="00E864B8"/>
    <w:rsid w:val="00E91A67"/>
    <w:rsid w:val="00E95380"/>
    <w:rsid w:val="00EB79E3"/>
    <w:rsid w:val="00ED1C11"/>
    <w:rsid w:val="00EE3BAC"/>
    <w:rsid w:val="00EF0559"/>
    <w:rsid w:val="00F0309F"/>
    <w:rsid w:val="00F03161"/>
    <w:rsid w:val="00F0717D"/>
    <w:rsid w:val="00F120AC"/>
    <w:rsid w:val="00F12D66"/>
    <w:rsid w:val="00F26905"/>
    <w:rsid w:val="00F45D00"/>
    <w:rsid w:val="00F54311"/>
    <w:rsid w:val="00F6541E"/>
    <w:rsid w:val="00F76C77"/>
    <w:rsid w:val="00F77326"/>
    <w:rsid w:val="00F8321A"/>
    <w:rsid w:val="00FA1CF1"/>
    <w:rsid w:val="00FA4C98"/>
    <w:rsid w:val="00FC04F7"/>
    <w:rsid w:val="00FC4D15"/>
    <w:rsid w:val="00FC76BB"/>
    <w:rsid w:val="00FD228C"/>
    <w:rsid w:val="00FD2FB2"/>
    <w:rsid w:val="00FD7585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48A"/>
  <w15:docId w15:val="{6E0EE6F4-4EB0-421F-B11B-886FB7D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E91A67"/>
    <w:rPr>
      <w:rFonts w:eastAsia="Times New Roman"/>
      <w:sz w:val="22"/>
      <w:szCs w:val="22"/>
    </w:rPr>
  </w:style>
  <w:style w:type="paragraph" w:customStyle="1" w:styleId="Odlomakpopisa1">
    <w:name w:val="Odlomak popisa1"/>
    <w:basedOn w:val="Normal"/>
    <w:rsid w:val="000772F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FD7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02B2-4319-440A-A14B-3415E7B8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Racunovodstvo1</cp:lastModifiedBy>
  <cp:revision>39</cp:revision>
  <cp:lastPrinted>2022-11-07T12:38:00Z</cp:lastPrinted>
  <dcterms:created xsi:type="dcterms:W3CDTF">2020-11-04T12:21:00Z</dcterms:created>
  <dcterms:modified xsi:type="dcterms:W3CDTF">2022-11-08T09:56:00Z</dcterms:modified>
</cp:coreProperties>
</file>